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IX </w:t>
      </w:r>
      <w:r>
        <w:rPr>
          <w:rFonts w:ascii="Times New Roman" w:cs="Times New Roman" w:hAnsi="Times New Roman"/>
          <w:sz w:val="28"/>
          <w:szCs w:val="28"/>
          <w:lang w:val="ru-RU"/>
        </w:rPr>
        <w:t xml:space="preserve">Международный конкурс исследовательских работ школьников </w:t>
      </w:r>
    </w:p>
    <w:p w14:paraId="00000002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“</w:t>
      </w:r>
      <w:r>
        <w:rPr>
          <w:rFonts w:ascii="Times New Roman" w:cs="Times New Roman" w:hAnsi="Times New Roman"/>
          <w:sz w:val="28"/>
          <w:szCs w:val="28"/>
          <w:lang w:val="en-US"/>
        </w:rPr>
        <w:t>Research start” 2026/2027</w:t>
      </w:r>
    </w:p>
    <w:p w14:paraId="00000003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</w:p>
    <w:p w14:paraId="00000004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</w:p>
    <w:p w14:paraId="00000005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</w:p>
    <w:p w14:paraId="00000006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Исследовательский проект</w:t>
      </w:r>
    </w:p>
    <w:p w14:paraId="00000007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 теме:</w:t>
      </w:r>
    </w:p>
    <w:p w14:paraId="00000008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val="ru-RU"/>
        </w:rPr>
        <w:t>Молодёжный сленг: сходства, различия и влияние интернета</w:t>
      </w:r>
    </w:p>
    <w:p w14:paraId="00000009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 xml:space="preserve"> </w:t>
      </w:r>
    </w:p>
    <w:p w14:paraId="0000000A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</w:p>
    <w:p w14:paraId="0000000B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</w:p>
    <w:p w14:paraId="0000000C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</w:p>
    <w:p w14:paraId="0000000D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</w:p>
    <w:p w14:paraId="0000000E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</w:p>
    <w:p w14:paraId="0000000F">
      <w:pPr>
        <w:spacing w:after="0" w:line="360"/>
        <w:ind w:left="0"/>
        <w:jc w:val="center"/>
        <w:rPr>
          <w:rFonts w:ascii="Times New Roman" w:cs="Times New Roman" w:hAnsi="Times New Roman"/>
          <w:sz w:val="28"/>
          <w:szCs w:val="28"/>
        </w:rPr>
      </w:pPr>
    </w:p>
    <w:p w14:paraId="00000010">
      <w:pPr>
        <w:spacing w:after="0" w:line="360"/>
        <w:ind w:left="0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Выполнил:</w:t>
      </w:r>
    </w:p>
    <w:p w14:paraId="00000011">
      <w:pPr>
        <w:spacing w:after="0" w:line="360"/>
        <w:ind w:left="0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Ученик </w:t>
      </w:r>
      <w:r>
        <w:rPr>
          <w:rFonts w:ascii="Times New Roman" w:cs="Times New Roman" w:hAnsi="Times New Roman"/>
          <w:sz w:val="28"/>
          <w:szCs w:val="28"/>
          <w:lang w:val="en-US"/>
        </w:rPr>
        <w:t>8</w:t>
      </w:r>
      <w:r>
        <w:rPr>
          <w:rFonts w:ascii="Times New Roman" w:cs="Times New Roman" w:hAnsi="Times New Roman"/>
          <w:sz w:val="28"/>
          <w:szCs w:val="28"/>
        </w:rPr>
        <w:t>А класса</w:t>
      </w:r>
    </w:p>
    <w:p w14:paraId="00000012">
      <w:pPr>
        <w:spacing w:after="0" w:line="360"/>
        <w:ind w:left="0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МБОУ “Школа №8”</w:t>
      </w:r>
    </w:p>
    <w:p w14:paraId="00000013">
      <w:pPr>
        <w:spacing w:after="0" w:line="360"/>
        <w:ind w:left="0"/>
        <w:jc w:val="right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ru-RU"/>
        </w:rPr>
        <w:t>Ловчев Кирилл Алексеевич</w:t>
      </w:r>
    </w:p>
    <w:p w14:paraId="00000014">
      <w:pPr>
        <w:spacing w:after="0" w:line="360"/>
        <w:ind w:left="0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Научный руководитель:</w:t>
      </w:r>
    </w:p>
    <w:p w14:paraId="00000015">
      <w:pPr>
        <w:spacing w:after="0" w:line="360"/>
        <w:ind w:left="0"/>
        <w:jc w:val="right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Симакова Ирина Сергеевна</w:t>
      </w:r>
    </w:p>
    <w:p w14:paraId="00000016">
      <w:pPr>
        <w:spacing w:after="0" w:line="360"/>
        <w:ind w:left="0"/>
        <w:jc w:val="right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17">
      <w:pPr>
        <w:spacing w:after="0" w:line="360"/>
        <w:ind w:left="0"/>
        <w:jc w:val="right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18">
      <w:pPr>
        <w:spacing w:after="0" w:line="360"/>
        <w:ind w:left="0"/>
        <w:jc w:val="right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19">
      <w:pPr>
        <w:spacing w:after="0" w:line="360"/>
        <w:ind w:left="0"/>
        <w:jc w:val="right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1A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Рязань, 202</w:t>
      </w:r>
      <w:r>
        <w:rPr>
          <w:rFonts w:ascii="Times New Roman" w:cs="Times New Roman" w:hAnsi="Times New Roman"/>
          <w:b/>
          <w:bCs/>
          <w:sz w:val="28"/>
          <w:szCs w:val="28"/>
          <w:lang w:val="ru-RU"/>
        </w:rPr>
        <w:t>6</w:t>
      </w:r>
    </w:p>
    <w:p w14:paraId="0000001B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1C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1D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</w:rPr>
      </w:pPr>
      <w:r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  <w:t xml:space="preserve">Введение </w:t>
      </w:r>
    </w:p>
    <w:p w14:paraId="0000001E">
      <w:pPr>
        <w:spacing w:after="0" w:line="360"/>
        <w:ind w:left="0" w:firstLine="720"/>
        <w:jc w:val="both"/>
        <w:rPr>
          <w:rFonts w:ascii="Times New Roman" w:cs="Times New Roman" w:hAnsi="Times New Roman"/>
          <w:i w:val="off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Язык постоянно меняется вместе с обществом. Особенно заметно это в речи подростков: появляются новые слова, сокращения, выражения и необычные значения уже знакомых слов. Молодые люди используют их в разговорах, переписке, комментариях, видеороликах и играх. Многие выражения быстро становятся популярными, а затем исчезают или приобретают новое значение.</w:t>
      </w:r>
    </w:p>
    <w:p w14:paraId="0000001F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i w:val="off"/>
          <w:iCs w:val="off"/>
          <w:sz w:val="28"/>
          <w:szCs w:val="28"/>
        </w:rPr>
        <w:t>Актуальность темы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связана с тем, что английский язык широко представлен в цифровой среде, а англоязычные выражения часто переходят в русскую речь. Например, слова «вайб», «краш», «кринж» употребляются русскоязычными подростками, хотя их происхождение связано с английскими словами vibe, crush и cringe. При этом прямой перевод не всегда передаёт 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>точное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значения. Изучение сленга помогает лучше понимать неформальное общение и культурный контекст.</w:t>
      </w:r>
    </w:p>
    <w:p w14:paraId="00000020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i w:val="off"/>
          <w:sz w:val="28"/>
          <w:szCs w:val="28"/>
        </w:rPr>
        <w:t>Проблема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исследования заключается в необходимости понять, что общего у молодёжного сленга двух языков, чем он отличается и каким образом интернет влияет на его развитие.</w:t>
      </w:r>
    </w:p>
    <w:p w14:paraId="00000021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i w:val="off"/>
          <w:sz w:val="28"/>
          <w:szCs w:val="28"/>
        </w:rPr>
        <w:t>Объект</w:t>
      </w:r>
      <w:r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  <w:t>ом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 xml:space="preserve"> исследования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 xml:space="preserve">является </w:t>
      </w:r>
      <w:r>
        <w:rPr>
          <w:rFonts w:ascii="Times New Roman" w:cs="Times New Roman" w:hAnsi="Times New Roman"/>
          <w:i w:val="off"/>
          <w:sz w:val="28"/>
          <w:szCs w:val="28"/>
        </w:rPr>
        <w:t>молодёжный сленг в английском и русском языках.</w:t>
      </w:r>
    </w:p>
    <w:p w14:paraId="00000022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i w:val="off"/>
          <w:sz w:val="28"/>
          <w:szCs w:val="28"/>
        </w:rPr>
        <w:t>Предмет исследования</w:t>
      </w:r>
      <w:r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  <w:t>: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 xml:space="preserve"> </w:t>
      </w:r>
      <w:r>
        <w:rPr>
          <w:rFonts w:ascii="Times New Roman" w:cs="Times New Roman" w:hAnsi="Times New Roman"/>
          <w:i w:val="off"/>
          <w:sz w:val="28"/>
          <w:szCs w:val="28"/>
        </w:rPr>
        <w:t>значения, функции, способы образования и распространения сленговых выражений в интернет-коммуникации.</w:t>
      </w:r>
    </w:p>
    <w:p w14:paraId="00000023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i w:val="off"/>
          <w:sz w:val="28"/>
          <w:szCs w:val="28"/>
        </w:rPr>
        <w:t>Цель проекта</w:t>
      </w:r>
      <w:r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  <w:t>: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 xml:space="preserve">это </w:t>
      </w:r>
      <w:r>
        <w:rPr>
          <w:rFonts w:ascii="Times New Roman" w:cs="Times New Roman" w:hAnsi="Times New Roman"/>
          <w:i w:val="off"/>
          <w:sz w:val="28"/>
          <w:szCs w:val="28"/>
        </w:rPr>
        <w:t>сравнить особенности молодёжного сленга в английском и русском языках и определить влияние интернета на его распространение.</w:t>
      </w:r>
    </w:p>
    <w:p w14:paraId="00000024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i w:val="off"/>
          <w:sz w:val="28"/>
          <w:szCs w:val="28"/>
        </w:rPr>
        <w:t>Задачи проекта: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1) изучить понятие и функции сленга; 2) рассмотреть влияние цифровой коммуникации; 3) отобрать примеры английских и русских выражений; 4) сравнить их значения и употребление; 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>5</w:t>
      </w:r>
      <w:r>
        <w:rPr>
          <w:rFonts w:ascii="Times New Roman" w:cs="Times New Roman" w:hAnsi="Times New Roman"/>
          <w:i w:val="off"/>
          <w:sz w:val="28"/>
          <w:szCs w:val="28"/>
        </w:rPr>
        <w:t>) создать мини-словарь.</w:t>
      </w:r>
    </w:p>
    <w:p w14:paraId="00000025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i w:val="off"/>
          <w:sz w:val="28"/>
          <w:szCs w:val="28"/>
        </w:rPr>
        <w:t>Гипотеза: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сленг английского и русского языков выполняет похожие функции — выражает эмоции, оценку и принадлежность к группе, — а интернет ускоряет распространение выражений и способствует появлению заимствований.</w:t>
      </w:r>
    </w:p>
    <w:p w14:paraId="00000026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i w:val="off"/>
          <w:sz w:val="28"/>
          <w:szCs w:val="28"/>
        </w:rPr>
        <w:t>Методы исследования: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анализ научной литературы, наблюдение за языковыми примерами из открытых источников, описательный и сравнительный методы, классификация лексики, анкетирование и подсчёт ответов.</w:t>
      </w:r>
    </w:p>
    <w:p w14:paraId="00000027">
      <w:pPr>
        <w:spacing w:after="0" w:line="360"/>
        <w:ind w:left="0" w:firstLine="720"/>
        <w:jc w:val="both"/>
        <w:rPr>
          <w:rFonts w:ascii="Times New Roman" w:cs="Times New Roman" w:hAnsi="Times New Roman"/>
          <w:i w:val="off"/>
          <w:sz w:val="28"/>
          <w:szCs w:val="28"/>
        </w:rPr>
      </w:pPr>
      <w:r>
        <w:rPr>
          <w:rFonts w:ascii="Times New Roman" w:cs="Times New Roman" w:hAnsi="Times New Roman"/>
          <w:b/>
          <w:bCs/>
          <w:i w:val="off"/>
          <w:sz w:val="28"/>
          <w:szCs w:val="28"/>
        </w:rPr>
        <w:t>Практическая значимость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состоит в том, что мини-словарь и памятка помогут 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>ученикам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понимать распространённые выражения и выбирать подходящий стиль общения. </w:t>
      </w:r>
      <w:r>
        <w:rPr>
          <w:rFonts w:ascii="Times New Roman" w:cs="Times New Roman" w:hAnsi="Times New Roman"/>
          <w:b/>
          <w:bCs/>
          <w:i w:val="off"/>
          <w:sz w:val="28"/>
          <w:szCs w:val="28"/>
        </w:rPr>
        <w:t>Новизна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проекта заключается в самостоятельном сопоставлении примеров двух языков и проверке их узнаваемости среди сверстников.</w:t>
      </w:r>
    </w:p>
    <w:p w14:paraId="00000028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29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2A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2B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2C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2D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2E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2F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30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31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32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33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34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35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36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37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 xml:space="preserve">Глава 1. </w:t>
      </w:r>
      <w:r>
        <w:rPr>
          <w:rFonts w:ascii="Times New Roman" w:cs="Times New Roman" w:hAnsi="Times New Roman"/>
          <w:b/>
          <w:bCs/>
          <w:sz w:val="28"/>
          <w:szCs w:val="28"/>
          <w:lang w:val="ru-RU"/>
        </w:rPr>
        <w:t>Теоретические знания о современном сленге</w:t>
      </w:r>
    </w:p>
    <w:p w14:paraId="00000038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ru-RU"/>
        </w:rPr>
        <w:t>1.1. Определение молодежного сленга и его функции</w:t>
      </w:r>
    </w:p>
    <w:p w14:paraId="00000039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Сленг — это неформальная лексика, характерная для определённых групп людей или ситуаций общения. У сленговых слов часто есть эмоциональная окраска, юмористический или оценочный оттенок. В лингвистике границы понятия «сленг» обсуждаются: не каждое разговорное слово можно считать сленгом, а некоторые выражения со временем переходят в более широкое употребление [</w:t>
      </w:r>
      <w:r>
        <w:rPr>
          <w:rFonts w:ascii="Times New Roman" w:cs="Times New Roman" w:hAnsi="Times New Roman"/>
          <w:i w:val="off"/>
          <w:sz w:val="28"/>
          <w:szCs w:val="28"/>
          <w:lang w:val="en-US"/>
        </w:rPr>
        <w:t>1</w:t>
      </w:r>
      <w:r>
        <w:rPr>
          <w:rFonts w:ascii="Times New Roman" w:cs="Times New Roman" w:hAnsi="Times New Roman"/>
          <w:i w:val="off"/>
          <w:sz w:val="28"/>
          <w:szCs w:val="28"/>
        </w:rPr>
        <w:t>].</w:t>
      </w:r>
    </w:p>
    <w:p w14:paraId="0000003A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Молодёжный сленг — часть неофициальной речи, используемая преимущественно молодыми людьми. Он не является отдельным языком: его основа — обычная грамматика и лексика английского или русского языка, к которым добавляются специфические слова и значения.</w:t>
      </w:r>
    </w:p>
    <w:p w14:paraId="0000003B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Можно выделить несколько основных функций молодёжного сленга:</w:t>
      </w:r>
    </w:p>
    <w:p w14:paraId="0000003C">
      <w:pPr>
        <w:pStyle w:val="ListBullet"/>
        <w:spacing w:after="0" w:line="360"/>
        <w:ind w:left="0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Коммуникативная — помогает быстро и кратко передавать информацию.</w:t>
      </w:r>
    </w:p>
    <w:p w14:paraId="0000003D">
      <w:pPr>
        <w:pStyle w:val="ListBullet"/>
        <w:spacing w:after="0" w:line="360"/>
        <w:ind w:left="0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Экспрессивная — выражает эмоции, одобрение, удивление, недовольство или иронию.</w:t>
      </w:r>
    </w:p>
    <w:p w14:paraId="0000003E">
      <w:pPr>
        <w:pStyle w:val="ListBullet"/>
        <w:spacing w:after="0" w:line="360"/>
        <w:ind w:left="0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Идентификационная — показывает принадлежность к определённой группе или интернет-сообществу.</w:t>
      </w:r>
    </w:p>
    <w:p w14:paraId="0000003F">
      <w:pPr>
        <w:pStyle w:val="ListBullet"/>
        <w:spacing w:after="0" w:line="360"/>
        <w:ind w:left="0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Игровая — создаёт юмор, словесную игру и необычные формулировки.</w:t>
      </w:r>
    </w:p>
    <w:p w14:paraId="00000040">
      <w:pPr>
        <w:pStyle w:val="ListBullet"/>
        <w:spacing w:after="0" w:line="360"/>
        <w:ind w:left="0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Оценочная — позволяет выразить отношение к человеку, событию или предмету.</w:t>
      </w:r>
    </w:p>
    <w:p w14:paraId="00000041">
      <w:pPr>
        <w:spacing w:after="0" w:line="360"/>
        <w:ind w:left="0" w:firstLine="720"/>
        <w:jc w:val="both"/>
        <w:rPr>
          <w:rFonts w:ascii="Times New Roman" w:cs="Times New Roman" w:hAnsi="Times New Roman"/>
          <w:i w:val="off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Сленг зависит от возраста, интересов, среды общения и времени. Выражение, популярное сегодня, через несколько лет может устареть. Поэтому значения сленговых слов важно проверять по контексту, а не запоминать как неизменные определения.</w:t>
      </w:r>
    </w:p>
    <w:p w14:paraId="00000042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Исследователи современного русского молодёжного жаргона отмечают разнообразие тематических групп, а также активное использование заимствований, метафор, сокращений и намеренного изменения формы слов [2</w:t>
      </w:r>
      <w:r>
        <w:rPr>
          <w:rFonts w:ascii="Times New Roman" w:cs="Times New Roman" w:hAnsi="Times New Roman"/>
          <w:i w:val="off"/>
          <w:sz w:val="28"/>
          <w:szCs w:val="28"/>
          <w:lang w:val="en-US"/>
        </w:rPr>
        <w:t>,3</w:t>
      </w:r>
      <w:r>
        <w:rPr>
          <w:rFonts w:ascii="Times New Roman" w:cs="Times New Roman" w:hAnsi="Times New Roman"/>
          <w:i w:val="off"/>
          <w:sz w:val="28"/>
          <w:szCs w:val="28"/>
        </w:rPr>
        <w:t>].</w:t>
      </w:r>
    </w:p>
    <w:p w14:paraId="00000043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1.2. Интернет как среда распространения сленга</w:t>
      </w:r>
    </w:p>
    <w:p w14:paraId="00000044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Интернет заметно изменил скорость языковых изменений. Раньше новые выражения могли распространяться преимущественно в небольших компаниях, учебных заведениях или через музыку и телевидение. Теперь слово или мем может за короткое время стать известным пользователям из разных стран.</w:t>
      </w:r>
    </w:p>
    <w:p w14:paraId="00000045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Социальные сети, видеоплатформы, онлайн-игры, форумы и мессенджеры создают условия для постоянного обмена языковыми новшествами. Пользователи повторяют популярные выражения, изменяют их, переводят, добавляют к ним окончания и используют в новых ситуациях.</w:t>
      </w:r>
    </w:p>
    <w:p w14:paraId="00000046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В цифровой коммуникации распространены следующие языковые явления:</w:t>
      </w:r>
    </w:p>
    <w:p w14:paraId="00000047">
      <w:pPr>
        <w:pStyle w:val="ListBullet"/>
        <w:spacing w:after="0" w:line="360"/>
        <w:ind w:left="0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Заимствование: английское слово входит в другой язык, иногда меняя написание и произношение (vibe — «вайб»).</w:t>
      </w:r>
    </w:p>
    <w:p w14:paraId="00000048">
      <w:pPr>
        <w:pStyle w:val="ListBullet"/>
        <w:spacing w:after="0" w:line="360"/>
        <w:ind w:left="0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Сокращение: длинная фраза заменяется короткой формой (например, английское DM — direct message, «личное сообщение»).</w:t>
      </w:r>
    </w:p>
    <w:p w14:paraId="00000049">
      <w:pPr>
        <w:pStyle w:val="ListBullet"/>
        <w:spacing w:after="0" w:line="360"/>
        <w:ind w:left="0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Семантическое изменение: знакомое слово получает новое значение (например, английское ghost как глагол в значении «перестать отвечать человеку»).</w:t>
      </w:r>
    </w:p>
    <w:p w14:paraId="0000004A">
      <w:pPr>
        <w:pStyle w:val="ListBullet"/>
        <w:spacing w:after="0" w:line="360"/>
        <w:ind w:left="0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Графические средства: заглавные буквы, повтор знаков, эмодзи и мемы помогают передавать эмоции.</w:t>
      </w:r>
    </w:p>
    <w:p w14:paraId="0000004B">
      <w:pPr>
        <w:pStyle w:val="ListBullet"/>
        <w:spacing w:after="0" w:line="360"/>
        <w:ind w:left="0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Меметизация: выражение распространяется вместе с изображением, видео или узнаваемой ситуацией.</w:t>
      </w:r>
    </w:p>
    <w:p w14:paraId="0000004C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В исследовании О. А. Фроловой рассматриваются англицизмы как функциональные элементы цифрового общения русскоязычной молодёжи. Автор показывает, что заимствованные слова используются не только для называния предметов и действий, но и для выражения отношения и организации общения [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>4</w:t>
      </w:r>
      <w:r>
        <w:rPr>
          <w:rFonts w:ascii="Times New Roman" w:cs="Times New Roman" w:hAnsi="Times New Roman"/>
          <w:i w:val="off"/>
          <w:sz w:val="28"/>
          <w:szCs w:val="28"/>
        </w:rPr>
        <w:t>].</w:t>
      </w:r>
    </w:p>
    <w:p w14:paraId="0000004D">
      <w:pPr>
        <w:spacing w:after="0" w:line="360"/>
        <w:ind w:left="0" w:firstLine="720"/>
        <w:jc w:val="both"/>
        <w:rPr>
          <w:rFonts w:ascii="Times New Roman" w:cs="Times New Roman" w:hAnsi="Times New Roman"/>
          <w:i w:val="off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При этом интернет не является единственной причиной появления сленга. Новые слова возникают также в устной речи, музыке, кино, играх и внутри отдельных сообществ. Цифровые платформы прежде всего ускоряют их распространение и делают выражения заметными для широкой аудитории.</w:t>
      </w:r>
    </w:p>
    <w:p w14:paraId="0000004E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1.3. Сходства и различия английского и русского сленга</w:t>
      </w:r>
    </w:p>
    <w:p w14:paraId="0000004F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Английский и русский молодёжный сленг развиваются в разных языковых системах, но выполняют сходные задачи. В обоих языках подростки используют короткие эмоциональные слова, ироничные оценки и выражения, связанные с дружбой, внешностью, впечатлениями, музыкой, играми и интернетом.</w:t>
      </w:r>
    </w:p>
    <w:p w14:paraId="00000050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Сходство проявляется в функциях и тематике. Например, английское cringe и русское «кринж» обозначают неловкую или неприятную ситуацию. Английское vibe и русское «вайб» связаны с атмосферой и впечатлением. Такие пары показывают, что заимствование может сохранять основное значение, но особенности употребления в двух языках не всегда полностью совпадают.</w:t>
      </w:r>
    </w:p>
    <w:p w14:paraId="00000051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Различия связаны с произношением, грамматикой, написанием и культурным контекстом. В русском языке заимствованное слово может получать окончания и образовывать производные формы: «вайб», «вайбовый». Английское слово обычно сохраняет английскую грамматическую форму. Кроме того, в русском сленге есть выражения без точного английского эквивалента, а в английском — слова, значение которых зависит от культурной среды.</w:t>
      </w:r>
    </w:p>
    <w:tbl>
      <w:tblPr>
        <w:tblStyle w:val="TableGrid"/>
        <w:tblW w:w="9499" w:type="dxa"/>
        <w:jc w:val="center"/>
        <w:tblLook w:val="04A0"/>
      </w:tblPr>
      <w:tblGrid>
        <w:gridCol w:w="3166"/>
        <w:gridCol w:w="3166"/>
        <w:gridCol w:w="3166"/>
      </w:tblGrid>
      <w:tr>
        <w:trPr>
          <w:trHeight w:val="281" w:hRule="atLeast"/>
        </w:trPr>
        <w:tc>
          <w:tcPr>
            <w:cnfStyle w:val="101000000000"/>
            <w:tcW w:w="3230" w:type="dxa"/>
            <w:vAlign w:val="center"/>
          </w:tcPr>
          <w:p w14:paraId="00000052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cnfStyle w:val="100000000000"/>
            <w:tcW w:w="3230" w:type="dxa"/>
            <w:vAlign w:val="center"/>
          </w:tcPr>
          <w:p w14:paraId="00000053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Английский сленг</w:t>
            </w:r>
          </w:p>
        </w:tc>
        <w:tc>
          <w:tcPr>
            <w:cnfStyle w:val="100000000000"/>
            <w:tcW w:w="3230" w:type="dxa"/>
            <w:vAlign w:val="center"/>
          </w:tcPr>
          <w:p w14:paraId="00000054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Русский сленг</w:t>
            </w:r>
          </w:p>
        </w:tc>
      </w:tr>
      <w:tr>
        <w:trPr>
          <w:trHeight w:val="562" w:hRule="atLeast"/>
        </w:trPr>
        <w:tc>
          <w:tcPr>
            <w:cnfStyle w:val="001000100000"/>
            <w:tcW w:w="3230" w:type="dxa"/>
            <w:vAlign w:val="center"/>
          </w:tcPr>
          <w:p w14:paraId="00000055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Форма</w:t>
            </w:r>
          </w:p>
        </w:tc>
        <w:tc>
          <w:tcPr>
            <w:cnfStyle w:val="000000100000"/>
            <w:tcW w:w="3230" w:type="dxa"/>
            <w:vAlign w:val="center"/>
          </w:tcPr>
          <w:p w14:paraId="00000056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Латинское написание; сокращения и новые значения</w:t>
            </w:r>
          </w:p>
        </w:tc>
        <w:tc>
          <w:tcPr>
            <w:cnfStyle w:val="000000100000"/>
            <w:tcW w:w="3230" w:type="dxa"/>
            <w:vAlign w:val="center"/>
          </w:tcPr>
          <w:p w14:paraId="00000057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Кириллица или латиница; адаптация заимствований</w:t>
            </w:r>
          </w:p>
        </w:tc>
      </w:tr>
      <w:tr>
        <w:trPr>
          <w:trHeight w:val="562" w:hRule="atLeast"/>
        </w:trPr>
        <w:tc>
          <w:tcPr>
            <w:cnfStyle w:val="001000010000"/>
            <w:tcW w:w="3230" w:type="dxa"/>
            <w:vAlign w:val="center"/>
          </w:tcPr>
          <w:p w14:paraId="00000058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Образование</w:t>
            </w:r>
          </w:p>
        </w:tc>
        <w:tc>
          <w:tcPr>
            <w:cnfStyle w:val="000000010000"/>
            <w:tcW w:w="3230" w:type="dxa"/>
            <w:vAlign w:val="center"/>
          </w:tcPr>
          <w:p w14:paraId="00000059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Сокращение, перенос значения, словосложение</w:t>
            </w:r>
          </w:p>
        </w:tc>
        <w:tc>
          <w:tcPr>
            <w:cnfStyle w:val="000000010000"/>
            <w:tcW w:w="3230" w:type="dxa"/>
            <w:vAlign w:val="center"/>
          </w:tcPr>
          <w:p w14:paraId="0000005A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Заимствование, суффиксация, усечение, метафора</w:t>
            </w:r>
          </w:p>
        </w:tc>
      </w:tr>
      <w:tr>
        <w:trPr>
          <w:trHeight w:val="281" w:hRule="atLeast"/>
        </w:trPr>
        <w:tc>
          <w:tcPr>
            <w:cnfStyle w:val="001000100000"/>
            <w:tcW w:w="3230" w:type="dxa"/>
            <w:vAlign w:val="center"/>
          </w:tcPr>
          <w:p w14:paraId="0000005B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Общение</w:t>
            </w:r>
          </w:p>
        </w:tc>
        <w:tc>
          <w:tcPr>
            <w:cnfStyle w:val="000000100000"/>
            <w:tcW w:w="3230" w:type="dxa"/>
            <w:vAlign w:val="center"/>
          </w:tcPr>
          <w:p w14:paraId="0000005C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Чаты, комментарии, видео, игры</w:t>
            </w:r>
          </w:p>
        </w:tc>
        <w:tc>
          <w:tcPr>
            <w:cnfStyle w:val="000000100000"/>
            <w:tcW w:w="3230" w:type="dxa"/>
            <w:vAlign w:val="center"/>
          </w:tcPr>
          <w:p w14:paraId="0000005D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Чаты, комментарии, видео, игры</w:t>
            </w:r>
          </w:p>
        </w:tc>
      </w:tr>
      <w:tr>
        <w:trPr>
          <w:trHeight w:val="561" w:hRule="atLeast"/>
        </w:trPr>
        <w:tc>
          <w:tcPr>
            <w:cnfStyle w:val="001000010000"/>
            <w:tcW w:w="3230" w:type="dxa"/>
            <w:vAlign w:val="center"/>
          </w:tcPr>
          <w:p w14:paraId="0000005E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Функции</w:t>
            </w:r>
          </w:p>
        </w:tc>
        <w:tc>
          <w:tcPr>
            <w:cnfStyle w:val="000000010000"/>
            <w:tcW w:w="3230" w:type="dxa"/>
            <w:vAlign w:val="center"/>
          </w:tcPr>
          <w:p w14:paraId="0000005F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Эмоции, оценка, групповая идентичность</w:t>
            </w:r>
          </w:p>
        </w:tc>
        <w:tc>
          <w:tcPr>
            <w:cnfStyle w:val="000000010000"/>
            <w:tcW w:w="3230" w:type="dxa"/>
            <w:vAlign w:val="center"/>
          </w:tcPr>
          <w:p w14:paraId="00000060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Эмоции, оценка, групповая идентичность</w:t>
            </w:r>
          </w:p>
        </w:tc>
      </w:tr>
    </w:tbl>
    <w:p w14:paraId="00000061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Важно учитывать, что сленг неоднороден. Выражения могут быть популярны в одной возрастной или онлайн-группе и почти неизвестны другой. Поэтому нельзя утверждать, что все подростки используют одни и те же слова</w:t>
      </w:r>
      <w:r>
        <w:rPr>
          <w:rFonts w:ascii="Times New Roman" w:cs="Times New Roman" w:hAnsi="Times New Roman"/>
          <w:i w:val="off"/>
          <w:sz w:val="28"/>
          <w:szCs w:val="28"/>
          <w:lang w:val="en-US"/>
        </w:rPr>
        <w:t>[5]</w:t>
      </w:r>
      <w:r>
        <w:rPr>
          <w:rFonts w:ascii="Times New Roman" w:cs="Times New Roman" w:hAnsi="Times New Roman"/>
          <w:i w:val="off"/>
          <w:sz w:val="28"/>
          <w:szCs w:val="28"/>
        </w:rPr>
        <w:t>.</w:t>
      </w:r>
    </w:p>
    <w:p w14:paraId="00000062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63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64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65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66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67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68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69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6A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6B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6C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6D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6E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6F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70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  <w:t xml:space="preserve">Глава 2. Использование современных сленговых выражений в речи подростков </w:t>
      </w:r>
    </w:p>
    <w:p w14:paraId="00000071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 xml:space="preserve">Для 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 xml:space="preserve">сравнительного анализа 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были 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 xml:space="preserve">выбраны 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примеры английского и русского молодёжного сленга, которые встречаются в 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>общении в сети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. Отбор проводился по трём критериям: выражение должно быть неформальным; иметь понятное значение в контексте; быть пригодным для сопоставления с выражением другого языка или для объяснения на русском языке. 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Для каждого 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>выбранного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слова определялись примерное значение, функция и возможный русский эквивалент. При переводе учитывался контекст: одно и то же слово может иметь несколько значений</w:t>
      </w:r>
      <w:r>
        <w:rPr>
          <w:rFonts w:ascii="Times New Roman" w:cs="Times New Roman" w:hAnsi="Times New Roman"/>
          <w:i w:val="off"/>
          <w:sz w:val="28"/>
          <w:szCs w:val="28"/>
          <w:lang w:val="en-US"/>
        </w:rPr>
        <w:t>[5]</w:t>
      </w:r>
      <w:r>
        <w:rPr>
          <w:rFonts w:ascii="Times New Roman" w:cs="Times New Roman" w:hAnsi="Times New Roman"/>
          <w:i w:val="off"/>
          <w:sz w:val="28"/>
          <w:szCs w:val="28"/>
        </w:rPr>
        <w:t>.</w:t>
      </w:r>
    </w:p>
    <w:p w14:paraId="00000072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 xml:space="preserve">В таблице приведены примеры английских сленговых 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>слов</w:t>
      </w:r>
      <w:r>
        <w:rPr>
          <w:rFonts w:ascii="Times New Roman" w:cs="Times New Roman" w:hAnsi="Times New Roman"/>
          <w:i w:val="off"/>
          <w:sz w:val="28"/>
          <w:szCs w:val="28"/>
        </w:rPr>
        <w:t>. Перевод дан приблизительно: точное значение зависит от ситуации, интонации и отношений между собеседниками.</w:t>
      </w:r>
    </w:p>
    <w:tbl>
      <w:tblPr>
        <w:tblStyle w:val="TableGrid"/>
        <w:tblW w:w="0" w:type="auto"/>
        <w:jc w:val="center"/>
        <w:tblLook w:val="04A0"/>
      </w:tblPr>
      <w:tblGrid>
        <w:gridCol w:w="3080"/>
        <w:gridCol w:w="3080"/>
        <w:gridCol w:w="3080"/>
      </w:tblGrid>
      <w:tr>
        <w:trPr/>
        <w:tc>
          <w:tcPr>
            <w:cnfStyle w:val="101000000000"/>
            <w:tcW w:w="3230" w:type="dxa"/>
            <w:vAlign w:val="center"/>
          </w:tcPr>
          <w:p w14:paraId="00000073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English expression</w:t>
            </w:r>
          </w:p>
        </w:tc>
        <w:tc>
          <w:tcPr>
            <w:cnfStyle w:val="100000000000"/>
            <w:tcW w:w="3230" w:type="dxa"/>
            <w:vAlign w:val="center"/>
          </w:tcPr>
          <w:p w14:paraId="00000074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Значение по-русски</w:t>
            </w:r>
          </w:p>
        </w:tc>
        <w:tc>
          <w:tcPr>
            <w:cnfStyle w:val="100000000000"/>
            <w:tcW w:w="3230" w:type="dxa"/>
            <w:vAlign w:val="center"/>
          </w:tcPr>
          <w:p w14:paraId="00000075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Пример употребления</w:t>
            </w:r>
          </w:p>
        </w:tc>
      </w:tr>
      <w:tr>
        <w:trPr/>
        <w:tc>
          <w:tcPr>
            <w:cnfStyle w:val="001000100000"/>
            <w:tcW w:w="3230" w:type="dxa"/>
            <w:vAlign w:val="center"/>
          </w:tcPr>
          <w:p w14:paraId="00000076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bro</w:t>
            </w:r>
          </w:p>
        </w:tc>
        <w:tc>
          <w:tcPr>
            <w:cnfStyle w:val="000000100000"/>
            <w:tcW w:w="3230" w:type="dxa"/>
            <w:vAlign w:val="center"/>
          </w:tcPr>
          <w:p w14:paraId="00000077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брат, дружище; дружеское обращение</w:t>
            </w:r>
          </w:p>
        </w:tc>
        <w:tc>
          <w:tcPr>
            <w:cnfStyle w:val="000000100000"/>
            <w:tcW w:w="3230" w:type="dxa"/>
            <w:vAlign w:val="center"/>
          </w:tcPr>
          <w:p w14:paraId="00000078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Bro, that was amazing! — Дружище, это было здорово!</w:t>
            </w:r>
          </w:p>
        </w:tc>
      </w:tr>
      <w:tr>
        <w:trPr/>
        <w:tc>
          <w:tcPr>
            <w:cnfStyle w:val="001000010000"/>
            <w:tcW w:w="3230" w:type="dxa"/>
            <w:vAlign w:val="center"/>
          </w:tcPr>
          <w:p w14:paraId="00000079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cringe</w:t>
            </w:r>
          </w:p>
        </w:tc>
        <w:tc>
          <w:tcPr>
            <w:cnfStyle w:val="000000010000"/>
            <w:tcW w:w="3230" w:type="dxa"/>
            <w:vAlign w:val="center"/>
          </w:tcPr>
          <w:p w14:paraId="0000007A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неловкость, смущение; что-то очень неловкое</w:t>
            </w:r>
          </w:p>
        </w:tc>
        <w:tc>
          <w:tcPr>
            <w:cnfStyle w:val="000000010000"/>
            <w:tcW w:w="3230" w:type="dxa"/>
            <w:vAlign w:val="center"/>
          </w:tcPr>
          <w:p w14:paraId="0000007B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That video is cringe. — Это видео вызывает неловкость.</w:t>
            </w:r>
          </w:p>
        </w:tc>
      </w:tr>
      <w:tr>
        <w:trPr/>
        <w:tc>
          <w:tcPr>
            <w:cnfStyle w:val="001000100000"/>
            <w:tcW w:w="3230" w:type="dxa"/>
            <w:vAlign w:val="center"/>
          </w:tcPr>
          <w:p w14:paraId="0000007C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slay</w:t>
            </w:r>
          </w:p>
        </w:tc>
        <w:tc>
          <w:tcPr>
            <w:cnfStyle w:val="000000100000"/>
            <w:tcW w:w="3230" w:type="dxa"/>
            <w:vAlign w:val="center"/>
          </w:tcPr>
          <w:p w14:paraId="0000007D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выступить великолепно; выглядеть или действовать впечатляюще</w:t>
            </w:r>
          </w:p>
        </w:tc>
        <w:tc>
          <w:tcPr>
            <w:cnfStyle w:val="000000100000"/>
            <w:tcW w:w="3230" w:type="dxa"/>
            <w:vAlign w:val="center"/>
          </w:tcPr>
          <w:p w14:paraId="0000007E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You slayed at the concert! — Ты потрясающе выступил(а) на концерте!</w:t>
            </w:r>
          </w:p>
        </w:tc>
      </w:tr>
      <w:tr>
        <w:trPr/>
        <w:tc>
          <w:tcPr>
            <w:cnfStyle w:val="001000010000"/>
            <w:tcW w:w="3230" w:type="dxa"/>
            <w:vAlign w:val="center"/>
          </w:tcPr>
          <w:p w14:paraId="0000007F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no cap</w:t>
            </w:r>
          </w:p>
        </w:tc>
        <w:tc>
          <w:tcPr>
            <w:cnfStyle w:val="000000010000"/>
            <w:tcW w:w="3230" w:type="dxa"/>
            <w:vAlign w:val="center"/>
          </w:tcPr>
          <w:p w14:paraId="00000080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честно, без шуток, не преувеличиваю</w:t>
            </w:r>
          </w:p>
        </w:tc>
        <w:tc>
          <w:tcPr>
            <w:cnfStyle w:val="000000010000"/>
            <w:tcW w:w="3230" w:type="dxa"/>
            <w:vAlign w:val="center"/>
          </w:tcPr>
          <w:p w14:paraId="00000081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This book is great, no cap. — Эта книга правда отличная.</w:t>
            </w:r>
          </w:p>
        </w:tc>
      </w:tr>
      <w:tr>
        <w:trPr/>
        <w:tc>
          <w:tcPr>
            <w:cnfStyle w:val="001000100000"/>
            <w:tcW w:w="3230" w:type="dxa"/>
            <w:vAlign w:val="center"/>
          </w:tcPr>
          <w:p w14:paraId="00000082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vibe</w:t>
            </w:r>
          </w:p>
        </w:tc>
        <w:tc>
          <w:tcPr>
            <w:cnfStyle w:val="000000100000"/>
            <w:tcW w:w="3230" w:type="dxa"/>
            <w:vAlign w:val="center"/>
          </w:tcPr>
          <w:p w14:paraId="00000083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атмосфера, настроение, впечатление</w:t>
            </w:r>
          </w:p>
        </w:tc>
        <w:tc>
          <w:tcPr>
            <w:cnfStyle w:val="000000100000"/>
            <w:tcW w:w="3230" w:type="dxa"/>
            <w:vAlign w:val="center"/>
          </w:tcPr>
          <w:p w14:paraId="00000084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I like the vibe here. — Мне нравится здешняя атмосфера.</w:t>
            </w:r>
          </w:p>
        </w:tc>
      </w:tr>
      <w:tr>
        <w:trPr/>
        <w:tc>
          <w:tcPr>
            <w:cnfStyle w:val="001000010000"/>
            <w:tcW w:w="3230" w:type="dxa"/>
            <w:vAlign w:val="center"/>
          </w:tcPr>
          <w:p w14:paraId="00000085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ghost (someone)</w:t>
            </w:r>
          </w:p>
        </w:tc>
        <w:tc>
          <w:tcPr>
            <w:cnfStyle w:val="000000010000"/>
            <w:tcW w:w="3230" w:type="dxa"/>
            <w:vAlign w:val="center"/>
          </w:tcPr>
          <w:p w14:paraId="00000086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внезапно перестать отвечать или выходить на связь</w:t>
            </w:r>
          </w:p>
        </w:tc>
        <w:tc>
          <w:tcPr>
            <w:cnfStyle w:val="000000010000"/>
            <w:tcW w:w="3230" w:type="dxa"/>
            <w:vAlign w:val="center"/>
          </w:tcPr>
          <w:p w14:paraId="00000087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He ghosted me. — Он перестал мне отвечать.</w:t>
            </w:r>
          </w:p>
        </w:tc>
      </w:tr>
      <w:tr>
        <w:trPr/>
        <w:tc>
          <w:tcPr>
            <w:cnfStyle w:val="001000100000"/>
            <w:tcW w:w="3230" w:type="dxa"/>
            <w:vAlign w:val="center"/>
          </w:tcPr>
          <w:p w14:paraId="00000088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DM</w:t>
            </w:r>
          </w:p>
        </w:tc>
        <w:tc>
          <w:tcPr>
            <w:cnfStyle w:val="000000100000"/>
            <w:tcW w:w="3230" w:type="dxa"/>
            <w:vAlign w:val="center"/>
          </w:tcPr>
          <w:p w14:paraId="00000089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личное сообщение в социальной сети</w:t>
            </w:r>
          </w:p>
        </w:tc>
        <w:tc>
          <w:tcPr>
            <w:cnfStyle w:val="000000100000"/>
            <w:tcW w:w="3230" w:type="dxa"/>
            <w:vAlign w:val="center"/>
          </w:tcPr>
          <w:p w14:paraId="0000008A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Send me a DM. — Напиши мне в личные сообщения.</w:t>
            </w:r>
          </w:p>
        </w:tc>
      </w:tr>
    </w:tbl>
    <w:p w14:paraId="0000008B">
      <w:pPr>
        <w:spacing w:after="0" w:line="360"/>
        <w:ind w:left="0"/>
        <w:jc w:val="both"/>
        <w:rPr>
          <w:rFonts w:ascii="Times New Roman" w:cs="Times New Roman" w:hAnsi="Times New Roman"/>
          <w:i w:val="off"/>
          <w:sz w:val="28"/>
          <w:szCs w:val="28"/>
        </w:rPr>
      </w:pPr>
    </w:p>
    <w:tbl>
      <w:tblPr>
        <w:tblStyle w:val="TableGrid"/>
        <w:tblW w:w="0" w:type="auto"/>
        <w:jc w:val="center"/>
        <w:tblLook w:val="04A0"/>
      </w:tblPr>
      <w:tblGrid>
        <w:gridCol w:w="3080"/>
        <w:gridCol w:w="3080"/>
        <w:gridCol w:w="3080"/>
      </w:tblGrid>
      <w:tr>
        <w:trPr/>
        <w:tc>
          <w:tcPr>
            <w:cnfStyle w:val="101000000000"/>
            <w:tcW w:w="3230" w:type="dxa"/>
            <w:vAlign w:val="center"/>
          </w:tcPr>
          <w:p w14:paraId="0000008C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Русское выражение</w:t>
            </w:r>
          </w:p>
        </w:tc>
        <w:tc>
          <w:tcPr>
            <w:cnfStyle w:val="100000000000"/>
            <w:tcW w:w="3230" w:type="dxa"/>
            <w:vAlign w:val="center"/>
          </w:tcPr>
          <w:p w14:paraId="0000008D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cnfStyle w:val="100000000000"/>
            <w:tcW w:w="3230" w:type="dxa"/>
            <w:vAlign w:val="center"/>
          </w:tcPr>
          <w:p w14:paraId="0000008E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Возможное объяснение на английском</w:t>
            </w:r>
          </w:p>
        </w:tc>
      </w:tr>
      <w:tr>
        <w:trPr/>
        <w:tc>
          <w:tcPr>
            <w:cnfStyle w:val="001000100000"/>
            <w:tcW w:w="3230" w:type="dxa"/>
            <w:vAlign w:val="center"/>
          </w:tcPr>
          <w:p w14:paraId="0000008F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краш</w:t>
            </w:r>
          </w:p>
        </w:tc>
        <w:tc>
          <w:tcPr>
            <w:cnfStyle w:val="000000100000"/>
            <w:tcW w:w="3230" w:type="dxa"/>
            <w:vAlign w:val="center"/>
          </w:tcPr>
          <w:p w14:paraId="00000090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человек, который очень нравится</w:t>
            </w:r>
          </w:p>
        </w:tc>
        <w:tc>
          <w:tcPr>
            <w:cnfStyle w:val="000000100000"/>
            <w:tcW w:w="3230" w:type="dxa"/>
            <w:vAlign w:val="center"/>
          </w:tcPr>
          <w:p w14:paraId="00000091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someone you have a crush on</w:t>
            </w:r>
          </w:p>
        </w:tc>
      </w:tr>
      <w:tr>
        <w:trPr/>
        <w:tc>
          <w:tcPr>
            <w:cnfStyle w:val="001000010000"/>
            <w:tcW w:w="3230" w:type="dxa"/>
            <w:vAlign w:val="center"/>
          </w:tcPr>
          <w:p w14:paraId="00000092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вайб</w:t>
            </w:r>
          </w:p>
        </w:tc>
        <w:tc>
          <w:tcPr>
            <w:cnfStyle w:val="000000010000"/>
            <w:tcW w:w="3230" w:type="dxa"/>
            <w:vAlign w:val="center"/>
          </w:tcPr>
          <w:p w14:paraId="00000093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атмосфера, настроение</w:t>
            </w:r>
          </w:p>
        </w:tc>
        <w:tc>
          <w:tcPr>
            <w:cnfStyle w:val="000000010000"/>
            <w:tcW w:w="3230" w:type="dxa"/>
            <w:vAlign w:val="center"/>
          </w:tcPr>
          <w:p w14:paraId="00000094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vibe; atmosphere</w:t>
            </w:r>
          </w:p>
        </w:tc>
      </w:tr>
      <w:tr>
        <w:trPr/>
        <w:tc>
          <w:tcPr>
            <w:cnfStyle w:val="001000100000"/>
            <w:tcW w:w="3230" w:type="dxa"/>
            <w:vAlign w:val="center"/>
          </w:tcPr>
          <w:p w14:paraId="00000095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жиза</w:t>
            </w:r>
          </w:p>
        </w:tc>
        <w:tc>
          <w:tcPr>
            <w:cnfStyle w:val="000000100000"/>
            <w:tcW w:w="3230" w:type="dxa"/>
            <w:vAlign w:val="center"/>
          </w:tcPr>
          <w:p w14:paraId="00000096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ситуация, в которой легко узнать себя</w:t>
            </w:r>
          </w:p>
        </w:tc>
        <w:tc>
          <w:tcPr>
            <w:cnfStyle w:val="000000100000"/>
            <w:tcW w:w="3230" w:type="dxa"/>
            <w:vAlign w:val="center"/>
          </w:tcPr>
          <w:p w14:paraId="00000097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so relatable; that is so real</w:t>
            </w:r>
          </w:p>
        </w:tc>
      </w:tr>
      <w:tr>
        <w:trPr/>
        <w:tc>
          <w:tcPr>
            <w:cnfStyle w:val="001000010000"/>
            <w:tcW w:w="3230" w:type="dxa"/>
            <w:vAlign w:val="center"/>
          </w:tcPr>
          <w:p w14:paraId="00000098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имба</w:t>
            </w:r>
          </w:p>
        </w:tc>
        <w:tc>
          <w:tcPr>
            <w:cnfStyle w:val="000000010000"/>
            <w:tcW w:w="3230" w:type="dxa"/>
            <w:vAlign w:val="center"/>
          </w:tcPr>
          <w:p w14:paraId="00000099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что-то очень сильное, удачное или эффективное</w:t>
            </w:r>
          </w:p>
        </w:tc>
        <w:tc>
          <w:tcPr>
            <w:cnfStyle w:val="000000010000"/>
            <w:tcW w:w="3230" w:type="dxa"/>
            <w:vAlign w:val="center"/>
          </w:tcPr>
          <w:p w14:paraId="0000009A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overpowered; extremely good</w:t>
            </w:r>
          </w:p>
        </w:tc>
      </w:tr>
      <w:tr>
        <w:trPr/>
        <w:tc>
          <w:tcPr>
            <w:cnfStyle w:val="001000100000"/>
            <w:tcW w:w="3230" w:type="dxa"/>
            <w:vAlign w:val="center"/>
          </w:tcPr>
          <w:p w14:paraId="0000009B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зашквар</w:t>
            </w:r>
          </w:p>
        </w:tc>
        <w:tc>
          <w:tcPr>
            <w:cnfStyle w:val="000000100000"/>
            <w:tcW w:w="3230" w:type="dxa"/>
            <w:vAlign w:val="center"/>
          </w:tcPr>
          <w:p w14:paraId="0000009C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что-то постыдное или неприемлемое в глазах группы</w:t>
            </w:r>
          </w:p>
        </w:tc>
        <w:tc>
          <w:tcPr>
            <w:cnfStyle w:val="000000100000"/>
            <w:tcW w:w="3230" w:type="dxa"/>
            <w:vAlign w:val="center"/>
          </w:tcPr>
          <w:p w14:paraId="0000009D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embarrassing; socially unacceptable</w:t>
            </w:r>
          </w:p>
        </w:tc>
      </w:tr>
      <w:tr>
        <w:trPr/>
        <w:tc>
          <w:tcPr>
            <w:cnfStyle w:val="001000010000"/>
            <w:tcW w:w="3230" w:type="dxa"/>
            <w:vAlign w:val="center"/>
          </w:tcPr>
          <w:p w14:paraId="0000009E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рофл</w:t>
            </w:r>
          </w:p>
        </w:tc>
        <w:tc>
          <w:tcPr>
            <w:cnfStyle w:val="000000010000"/>
            <w:tcW w:w="3230" w:type="dxa"/>
            <w:vAlign w:val="center"/>
          </w:tcPr>
          <w:p w14:paraId="0000009F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шутка или действие ради смеха</w:t>
            </w:r>
          </w:p>
        </w:tc>
        <w:tc>
          <w:tcPr>
            <w:cnfStyle w:val="000000010000"/>
            <w:tcW w:w="3230" w:type="dxa"/>
            <w:vAlign w:val="center"/>
          </w:tcPr>
          <w:p w14:paraId="000000A0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a joke; messing around</w:t>
            </w:r>
          </w:p>
        </w:tc>
      </w:tr>
      <w:tr>
        <w:trPr/>
        <w:tc>
          <w:tcPr>
            <w:cnfStyle w:val="001000100000"/>
            <w:tcW w:w="3230" w:type="dxa"/>
            <w:vAlign w:val="center"/>
          </w:tcPr>
          <w:p w14:paraId="000000A1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токсик</w:t>
            </w:r>
          </w:p>
        </w:tc>
        <w:tc>
          <w:tcPr>
            <w:cnfStyle w:val="000000100000"/>
            <w:tcW w:w="3230" w:type="dxa"/>
            <w:vAlign w:val="center"/>
          </w:tcPr>
          <w:p w14:paraId="000000A2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человек или поведение, которое негативно влияет на общение</w:t>
            </w:r>
          </w:p>
        </w:tc>
        <w:tc>
          <w:tcPr>
            <w:cnfStyle w:val="000000100000"/>
            <w:tcW w:w="3230" w:type="dxa"/>
            <w:vAlign w:val="center"/>
          </w:tcPr>
          <w:p w14:paraId="000000A3">
            <w:pPr>
              <w:spacing w:after="0" w:line="360" w:lineRule="auto"/>
              <w:ind w:left="0" w:firstLine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off"/>
                <w:sz w:val="24"/>
                <w:szCs w:val="24"/>
              </w:rPr>
              <w:t>a toxic person; toxic behaviour</w:t>
            </w:r>
          </w:p>
        </w:tc>
      </w:tr>
    </w:tbl>
    <w:p w14:paraId="000000A4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>На основе вышеприведенных таблиц можно сделать</w:t>
      </w:r>
      <w:r>
        <w:rPr>
          <w:rFonts w:ascii="Times New Roman" w:cs="Times New Roman" w:hAnsi="Times New Roman"/>
          <w:b/>
          <w:bCs/>
          <w:i w:val="off"/>
          <w:iCs w:val="off"/>
          <w:sz w:val="28"/>
          <w:szCs w:val="28"/>
          <w:u w:val="none"/>
          <w:lang w:val="ru-RU"/>
        </w:rPr>
        <w:t xml:space="preserve"> вывод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>, что ч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асть английских выражений имеет близкие русские соответствия, например vibe — «вайб», cringe — «кринж». Другие требуют описательного перевода. Так, no cap нельзя всегда переводить одним словом: в зависимости от ситуации подойдут «честно», «серьёзно» или «без преувеличения». 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>Однако, н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е все русские выражения имеют точный английский эквивалент. Например, «жиза» часто передаёт реакцию узнавания: говорящий показывает, что ситуация ему знакома. Английские варианты so relatable или that is so real передают похожую реакцию, но не являются буквальным переводом. </w:t>
      </w:r>
      <w:r>
        <w:rPr>
          <w:rFonts w:ascii="Times New Roman" w:cs="Times New Roman" w:hAnsi="Times New Roman"/>
          <w:i w:val="off"/>
          <w:sz w:val="28"/>
          <w:szCs w:val="28"/>
        </w:rPr>
        <w:t>Некоторые слова меняют значение в зависимости от сообщества. «Имба» может относиться к сильному персонажу в игре, а в повседневной речи — к чему-то очень удачному. Поэтому словарная статья должна включать контекст.</w:t>
      </w:r>
    </w:p>
    <w:p w14:paraId="000000A5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A6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A7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A8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A9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AA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AB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AC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AD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AE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AF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0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1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2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3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4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5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6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7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8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9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A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B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C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D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E">
      <w:pPr>
        <w:spacing w:after="0" w:line="360"/>
        <w:ind w:left="0"/>
        <w:jc w:val="both"/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</w:pPr>
    </w:p>
    <w:p w14:paraId="000000BF">
      <w:pPr>
        <w:spacing w:after="0" w:line="360"/>
        <w:ind w:left="0"/>
        <w:jc w:val="center"/>
        <w:rPr>
          <w:rFonts w:ascii="Times New Roman" w:cs="Times New Roman" w:hAnsi="Times New Roman"/>
          <w:b/>
          <w:bCs/>
          <w:i w:val="off"/>
          <w:sz w:val="28"/>
          <w:szCs w:val="28"/>
        </w:rPr>
      </w:pPr>
      <w:r>
        <w:rPr>
          <w:rFonts w:ascii="Times New Roman" w:cs="Times New Roman" w:hAnsi="Times New Roman"/>
          <w:b/>
          <w:bCs/>
          <w:i w:val="off"/>
          <w:sz w:val="28"/>
          <w:szCs w:val="28"/>
          <w:lang w:val="ru-RU"/>
        </w:rPr>
        <w:t xml:space="preserve">Заключение </w:t>
      </w:r>
    </w:p>
    <w:p w14:paraId="000000C0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Цель проекта заключалась в сравнении молодёжного сленга английского и русского языков и определении влияния интернета на его распространение. Для достижения цели были изучены научные источники, рассмотрены функции сленга, проанализированы примеры двух языков и подготовлены материалы для практического исследования.</w:t>
      </w:r>
    </w:p>
    <w:p w14:paraId="000000C1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 xml:space="preserve">Поставленные задачи в теоретической и словарной частях выполнены. 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>Сделан вывод о том,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что английский и русский молодёжный сленг имеет общие функции: помогает выражать эмоции, оценивать события, поддерживать неформальное общение и обозначать принадлежность к группе.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>Однако можно отметить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разл</w:t>
      </w:r>
      <w:r>
        <w:rPr>
          <w:rFonts w:ascii="Times New Roman" w:cs="Times New Roman" w:hAnsi="Times New Roman"/>
          <w:i w:val="off"/>
          <w:sz w:val="28"/>
          <w:szCs w:val="28"/>
          <w:lang w:val="ru-RU"/>
        </w:rPr>
        <w:t>ичные</w:t>
      </w:r>
      <w:r>
        <w:rPr>
          <w:rFonts w:ascii="Times New Roman" w:cs="Times New Roman" w:hAnsi="Times New Roman"/>
          <w:i w:val="off"/>
          <w:sz w:val="28"/>
          <w:szCs w:val="28"/>
        </w:rPr>
        <w:t xml:space="preserve"> способы образования слов и культурные оттенки значений.</w:t>
      </w:r>
    </w:p>
    <w:p w14:paraId="000000C2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Интернет играет важную роль в распространении сленга. Социальные сети, видеоролики, игры и мессенджеры делают новые выражения доступными широкой аудитории. Английские слова нередко переходят в русский язык, но могут изменять форму и приобретать дополнительные оттенки значения. Следовательно, при переводе важно учитывать не только словарное значение, но и контекст.</w:t>
      </w:r>
    </w:p>
    <w:p w14:paraId="000000C3">
      <w:pPr>
        <w:spacing w:after="0" w:line="360"/>
        <w:ind w:left="0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 w:val="off"/>
          <w:sz w:val="28"/>
          <w:szCs w:val="28"/>
        </w:rPr>
        <w:t>Практическая значимость проекта заключается в создании мини-словаря , которые можно использовать на уроках английского языка. Перспективой дальнейшей работы может стать расширение словаря, сравнение сленга разных возрастных групп и наблюдение за тем, как часто новые выражения сохраняются в языке.</w:t>
      </w:r>
    </w:p>
    <w:p w14:paraId="000000C4"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C5"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C6"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C7"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C8"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</w:p>
    <w:p w14:paraId="000000C9"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ru-RU"/>
        </w:rPr>
        <w:t>Список литературы</w:t>
      </w:r>
    </w:p>
    <w:p w14:paraId="000000CA">
      <w:pPr>
        <w:numPr>
          <w:ilvl w:val="0"/>
          <w:numId w:val="2"/>
        </w:numPr>
        <w:spacing w:after="140" w:line="276" w:lineRule="auto"/>
        <w:jc w:val="both"/>
        <w:rPr>
          <w:rFonts w:ascii="Times New Roman" w:cs="Times New Roman" w:hAnsi="Times New Roman"/>
          <w:b w:val="off"/>
          <w:bCs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 xml:space="preserve">Adams M. Slang // Oxford Bibliographies in Linguistics. 2023. URL: https://academic.oup.com/reference/62381/reference-article-abstract/555023783 (дата обращения: </w:t>
      </w:r>
      <w:r>
        <w:rPr>
          <w:rFonts w:ascii="Times New Roman" w:cs="Times New Roman" w:hAnsi="Times New Roman"/>
          <w:b w:val="off"/>
          <w:bCs w:val="off"/>
          <w:sz w:val="28"/>
          <w:szCs w:val="28"/>
          <w:lang w:val="ru-RU"/>
        </w:rPr>
        <w:t>1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.10.2026).</w:t>
      </w:r>
    </w:p>
    <w:p w14:paraId="000000CB">
      <w:pPr>
        <w:numPr>
          <w:ilvl w:val="0"/>
          <w:numId w:val="2"/>
        </w:numPr>
        <w:spacing w:after="140" w:line="276" w:lineRule="auto"/>
        <w:jc w:val="both"/>
        <w:rPr>
          <w:rFonts w:ascii="Times New Roman" w:cs="Times New Roman" w:hAnsi="Times New Roman"/>
          <w:b w:val="off"/>
          <w:bCs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 xml:space="preserve">Карамова А. А., Сметанина А. Ю. Специфические особенности современного молодежного жаргона (на материале интернет-источников) // Филологические науки. Вопросы теории и практики. 2024. Т. 17. Вып. 1. URL: https://philology-journal.ru/article/phil20240032/fulltext (дата обращения: </w:t>
      </w:r>
      <w:r>
        <w:rPr>
          <w:rFonts w:ascii="Times New Roman" w:cs="Times New Roman" w:hAnsi="Times New Roman"/>
          <w:b w:val="off"/>
          <w:bCs w:val="off"/>
          <w:sz w:val="28"/>
          <w:szCs w:val="28"/>
          <w:lang w:val="en-US"/>
        </w:rPr>
        <w:t>30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.</w:t>
      </w:r>
      <w:r>
        <w:rPr>
          <w:rFonts w:ascii="Times New Roman" w:cs="Times New Roman" w:hAnsi="Times New Roman"/>
          <w:b w:val="off"/>
          <w:bCs w:val="off"/>
          <w:sz w:val="28"/>
          <w:szCs w:val="28"/>
          <w:lang w:val="ru-RU"/>
        </w:rPr>
        <w:t>09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.2026).</w:t>
      </w:r>
    </w:p>
    <w:p w14:paraId="000000CC">
      <w:pPr>
        <w:numPr>
          <w:ilvl w:val="0"/>
          <w:numId w:val="3"/>
        </w:numPr>
        <w:spacing w:after="140" w:line="276" w:lineRule="auto"/>
        <w:jc w:val="both"/>
        <w:rPr>
          <w:rFonts w:ascii="Times New Roman" w:cs="Times New Roman" w:hAnsi="Times New Roman"/>
          <w:b w:val="off"/>
          <w:bCs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  <w:lang w:val="ru-RU"/>
        </w:rPr>
        <w:t xml:space="preserve">Картавцева Ю.В,Хачмафаева З.Р.Кластерный подход к описанию молодежного сленга в интернет коммуникации// Вестник Московского Лингвистического университета.Гуманитарные науки.2025. Вып №9(903). С. 45-52. 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 xml:space="preserve">URL: https://vestnik-mslu.ru/2542-2197/article/view/341922 (дата обращения: </w:t>
      </w:r>
      <w:r>
        <w:rPr>
          <w:rFonts w:ascii="Times New Roman" w:cs="Times New Roman" w:hAnsi="Times New Roman"/>
          <w:b w:val="off"/>
          <w:bCs w:val="off"/>
          <w:sz w:val="28"/>
          <w:szCs w:val="28"/>
          <w:lang w:val="ru-RU"/>
        </w:rPr>
        <w:t>15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.10.2026).</w:t>
      </w:r>
      <w:r>
        <w:rPr>
          <w:rFonts w:ascii="Times New Roman" w:cs="Times New Roman" w:hAnsi="Times New Roman"/>
          <w:b w:val="off"/>
          <w:bCs w:val="off"/>
          <w:sz w:val="28"/>
          <w:szCs w:val="28"/>
          <w:lang w:val="ru-RU"/>
        </w:rPr>
        <w:t xml:space="preserve"> </w:t>
      </w:r>
    </w:p>
    <w:p w14:paraId="000000CD">
      <w:pPr>
        <w:numPr>
          <w:ilvl w:val="0"/>
          <w:numId w:val="2"/>
        </w:numPr>
        <w:spacing w:after="140" w:line="276" w:lineRule="auto"/>
        <w:jc w:val="both"/>
        <w:rPr>
          <w:rFonts w:ascii="Times New Roman" w:cs="Times New Roman" w:hAnsi="Times New Roman"/>
          <w:b w:val="off"/>
          <w:bCs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 xml:space="preserve">Фролова О. А. Англицизмы как функционально-прагматические маркеры цифровой коммуникации русскоговорящей молодежи // Филологические науки. Вопросы теории и практики. 2024. Т. 17. Вып. 9. URL: https://philology-journal.ru/article/phil20240434/fulltext (дата обращения: </w:t>
      </w:r>
      <w:r>
        <w:rPr>
          <w:rFonts w:ascii="Times New Roman" w:cs="Times New Roman" w:hAnsi="Times New Roman"/>
          <w:b w:val="off"/>
          <w:bCs w:val="off"/>
          <w:sz w:val="28"/>
          <w:szCs w:val="28"/>
          <w:lang w:val="ru-RU"/>
        </w:rPr>
        <w:t>7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.10.2026).</w:t>
      </w:r>
    </w:p>
    <w:p w14:paraId="000000CE">
      <w:pPr>
        <w:numPr>
          <w:ilvl w:val="0"/>
          <w:numId w:val="2"/>
        </w:numPr>
        <w:spacing w:after="0" w:line="276" w:lineRule="auto"/>
        <w:jc w:val="both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color w:val="333333"/>
          <w:sz w:val="28"/>
          <w:szCs w:val="28"/>
          <w:highlight w:val="white"/>
          <w:rtl w:val="off"/>
          <w:lang w:val="en-US"/>
        </w:rPr>
        <w:t>Сергеева</w:t>
      </w:r>
      <w:r>
        <w:rPr>
          <w:rFonts w:ascii="Times New Roman" w:cs="Times New Roman" w:hAnsi="Times New Roman"/>
          <w:b w:val="off"/>
          <w:bCs w:val="off"/>
          <w:color w:val="333333"/>
          <w:sz w:val="28"/>
          <w:szCs w:val="28"/>
          <w:highlight w:val="white"/>
          <w:rtl w:val="off"/>
          <w:lang w:val="en-US"/>
        </w:rPr>
        <w:t xml:space="preserve"> А.М., Моисеева Л.С</w:t>
      </w:r>
      <w:r>
        <w:rPr>
          <w:rFonts w:ascii="Times New Roman" w:cs="Times New Roman" w:hAnsi="Times New Roman"/>
          <w:b w:val="off"/>
          <w:bCs w:val="off"/>
          <w:color w:val="000000"/>
          <w:sz w:val="28"/>
          <w:szCs w:val="28"/>
          <w:rtl w:val="off"/>
          <w:lang w:val="en-US"/>
        </w:rPr>
        <w:t xml:space="preserve"> 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 xml:space="preserve"> Языковые особенности молодёжной  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интернет-коммуникации // Неофилология. 2025. Т. 11. № 2. С. 273–28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2</w:t>
      </w:r>
      <w:r>
        <w:rPr>
          <w:rFonts w:ascii="Times New Roman" w:cs="Times New Roman" w:hAnsi="Times New Roman"/>
        </w:rPr>
        <w:t>.</w:t>
      </w:r>
    </w:p>
    <w:p w14:paraId="000000CF">
      <w:pPr>
        <w:jc w:val="both"/>
        <w:rPr>
          <w:rFonts w:ascii="Times New Roman" w:cs="Times New Roman" w:hAnsi="Times New Roman"/>
          <w:sz w:val="28"/>
          <w:szCs w:val="28"/>
        </w:rPr>
      </w:pPr>
    </w:p>
    <w:sectPr>
      <w:headerReference w:type="default" r:id="rId5"/>
      <w:footerReference w:type="default" r:id="rId6"/>
      <w:footnotePr/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pgNumType w:fmt="decimal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Segoe UI">
    <w:charset w:val="00"/>
  </w:font>
</w:fonts>
</file>

<file path=word/footer1.xml><?xml version="1.0" encoding="utf-8"?>
<w:ftr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p w14:paraId="000000D1">
    <w:pPr>
      <w:spacing w:after="0" w:line="240" w:lineRule="auto"/>
      <w:jc w:val="right"/>
      <w:rPr/>
    </w:pPr>
    <w:r>
      <w:fldChar w:fldCharType="begin"/>
    </w:r>
    <w:r>
      <w:instrText xml:space="preserve">PAGE</w:instrText>
    </w:r>
    <w:r>
      <w:fldChar w:fldCharType="separate"/>
    </w:r>
    <w:r>
      <w:rPr>
        <w:lang w:val="en-US"/>
      </w:rPr>
      <w:t>*</w:t>
    </w:r>
    <w:r>
      <w:fldChar w:fldCharType="end"/>
    </w:r>
  </w:p>
  <w:p w14:paraId="000000D2">
    <w:pPr>
      <w:spacing w:after="0" w:line="240" w:lineRule="auto"/>
      <w:jc w:val="center"/>
      <w:rPr/>
    </w:pPr>
  </w:p>
  <w:p w14:paraId="000000D3">
    <w:pPr>
      <w:spacing w:after="0" w:line="240" w:lineRule="auto"/>
      <w:jc w:val="center"/>
      <w:rPr/>
    </w:pPr>
  </w:p>
  <w:p w14:paraId="000000D4">
    <w:pPr>
      <w:spacing w:after="0" w:line="240" w:lineRule="auto"/>
      <w:rPr/>
    </w:pPr>
  </w:p>
</w:ftr>
</file>

<file path=word/header1.xml><?xml version="1.0" encoding="utf-8"?>
<w:hdr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p w14:paraId="000000D0">
    <w:pPr>
      <w:spacing w:after="0" w:line="240" w:lineRule="auto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singleLevel"/>
    <w:lvl w:ilvl="0" w:tentative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multiLevelType w:val="hybridMultilevel"/>
    <w:lvl w:ilvl="0" w:tentative="1">
      <w:start w:val="1"/>
      <w:numFmt w:val="decimal"/>
      <w:isLgl w:val="off"/>
      <w:suff w:val="tab"/>
      <w:lvlText w:val="%1."/>
      <w:lvlJc w:val="left"/>
      <w:pPr>
        <w:ind w:left="720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</w:lvl>
  </w:abstractNum>
  <w:abstractNum w:abstractNumId="2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trackRevisions w:val="off"/>
  <w:compat>
    <w:compatSetting w:name="compatibilityMode" w:uri="http://schemas.microsoft.com/office/word" w:val="14"/>
  </w:compat>
  <w:footnotePr/>
  <w:endnotePr/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Bullet">
    <w:name w:val="List Bullet"/>
    <w:basedOn w:val="Normal"/>
    <w:uiPriority w:val="99"/>
    <w:unhideWhenUsed w:val="on"/>
    <w:pPr>
      <w:numPr>
        <w:ilvl w:val="0"/>
        <w:numId w:val="1"/>
      </w:numPr>
      <w:contextualSpacing w:val="on"/>
    </w:p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unhideWhenUsed w:val="on"/>
    <w:qFormat w:val="on"/>
    <w:pPr>
      <w:spacing w:line="259" w:lineRule="auto"/>
      <w:jc w:val="left"/>
    </w:pPr>
    <w:rPr>
      <w:rFonts w:asciiTheme="majorHAnsi" w:cstheme="majorBidi" w:hAnsiTheme="majorHAnsi"/>
      <w:b w:val="off"/>
      <w:color w:val="2f5395" w:themeColor="accent1" w:themeShade="bf"/>
      <w:sz w:val="32"/>
      <w:szCs w:val="32"/>
      <w:lang w:eastAsia="ru-RU"/>
    </w:rPr>
  </w:style>
  <w:style w:type="paragraph" w:styleId="Toc3">
    <w:name w:val="Toc 3"/>
    <w:basedOn w:val="Normal"/>
    <w:next w:val="Normal"/>
    <w:uiPriority w:val="39"/>
    <w:unhideWhenUsed w:val="on"/>
    <w:pPr>
      <w:spacing w:after="100"/>
      <w:ind w:left="440"/>
    </w:pPr>
  </w:style>
  <w:style w:type="paragraph" w:styleId="Toc1">
    <w:name w:val="Toc 1"/>
    <w:basedOn w:val="Normal"/>
    <w:next w:val="Normal"/>
    <w:uiPriority w:val="39"/>
    <w:unhideWhenUsed w:val="on"/>
    <w:pPr>
      <w:spacing w:after="100"/>
    </w:pPr>
  </w:style>
  <w:style w:type="paragraph" w:styleId="Toc2">
    <w:name w:val="Toc 2"/>
    <w:basedOn w:val="Normal"/>
    <w:next w:val="Normal"/>
    <w:uiPriority w:val="39"/>
    <w:unhideWhenUsed w:val="on"/>
    <w:pPr>
      <w:spacing w:after="100"/>
      <w:ind w:left="22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 Симаков</dc:creator>
  <cp:lastModifiedBy>Макс Симаков</cp:lastModifiedBy>
</cp:coreProperties>
</file>