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spacing w:line="360" w:lineRule="auto"/>
        <w:ind w:firstLine="709"/>
        <w:jc w:val="center"/>
        <w:rPr>
          <w:rFonts w:ascii="Times New Roman" w:hAnsi="Times New Roman"/>
          <w:b w:val="0"/>
        </w:rPr>
      </w:pPr>
      <w:r>
        <w:rPr>
          <w:rFonts w:ascii="Times New Roman" w:hAnsi="Times New Roman"/>
          <w:b w:val="0"/>
        </w:rPr>
        <w:t>М</w:t>
      </w:r>
      <w:r>
        <w:rPr>
          <w:rFonts w:ascii="Times New Roman" w:hAnsi="Times New Roman"/>
        </w:rPr>
        <w:t xml:space="preserve">инистерство просвещения Российской Федераии </w:t>
      </w:r>
    </w:p>
    <w:p w14:paraId="02000000">
      <w:pPr>
        <w:pStyle w:val="Style_1"/>
        <w:spacing w:line="360" w:lineRule="auto"/>
        <w:ind w:firstLine="709"/>
        <w:jc w:val="center"/>
        <w:rPr>
          <w:rFonts w:ascii="Times New Roman" w:hAnsi="Times New Roman"/>
          <w:b w:val="0"/>
        </w:rPr>
      </w:pPr>
      <w:r>
        <w:rPr>
          <w:rFonts w:ascii="Times New Roman" w:hAnsi="Times New Roman"/>
        </w:rPr>
        <w:t>МКОУ СОШ № 3 г. п. Нарткала</w:t>
      </w:r>
    </w:p>
    <w:p w14:paraId="03000000">
      <w:pPr>
        <w:pStyle w:val="Style_1"/>
        <w:spacing w:line="360" w:lineRule="auto"/>
        <w:ind w:firstLine="709"/>
        <w:jc w:val="center"/>
        <w:rPr>
          <w:rFonts w:ascii="Times New Roman" w:hAnsi="Times New Roman"/>
          <w:b w:val="0"/>
        </w:rPr>
      </w:pPr>
    </w:p>
    <w:p w14:paraId="04000000">
      <w:pPr>
        <w:pStyle w:val="Style_1"/>
        <w:spacing w:line="360" w:lineRule="auto"/>
        <w:ind w:firstLine="709"/>
        <w:jc w:val="center"/>
        <w:rPr>
          <w:rFonts w:ascii="Times New Roman" w:hAnsi="Times New Roman"/>
          <w:b w:val="0"/>
        </w:rPr>
      </w:pPr>
    </w:p>
    <w:p w14:paraId="05000000">
      <w:pPr>
        <w:pStyle w:val="Style_1"/>
        <w:spacing w:line="360" w:lineRule="auto"/>
        <w:ind w:firstLine="709"/>
        <w:jc w:val="center"/>
        <w:rPr>
          <w:rFonts w:ascii="Times New Roman" w:hAnsi="Times New Roman"/>
          <w:b w:val="0"/>
        </w:rPr>
      </w:pPr>
    </w:p>
    <w:p w14:paraId="06000000">
      <w:pPr>
        <w:pStyle w:val="Style_1"/>
        <w:spacing w:line="360" w:lineRule="auto"/>
        <w:ind w:firstLine="709"/>
        <w:jc w:val="center"/>
        <w:rPr>
          <w:rFonts w:ascii="Times New Roman" w:hAnsi="Times New Roman"/>
          <w:b w:val="0"/>
        </w:rPr>
      </w:pPr>
    </w:p>
    <w:p w14:paraId="07000000">
      <w:pPr>
        <w:pStyle w:val="Style_1"/>
        <w:spacing w:line="360" w:lineRule="auto"/>
        <w:ind w:firstLine="709"/>
        <w:jc w:val="center"/>
        <w:rPr>
          <w:rFonts w:ascii="Times New Roman" w:hAnsi="Times New Roman"/>
          <w:b w:val="0"/>
        </w:rPr>
      </w:pPr>
      <w:r>
        <w:rPr>
          <w:rFonts w:ascii="Times New Roman" w:hAnsi="Times New Roman"/>
          <w:b w:val="0"/>
        </w:rPr>
        <w:t>М</w:t>
      </w:r>
      <w:r>
        <w:rPr>
          <w:rFonts w:ascii="Times New Roman" w:hAnsi="Times New Roman"/>
        </w:rPr>
        <w:t>еждународный конкурс «Research start» 2026/27</w:t>
      </w:r>
    </w:p>
    <w:p w14:paraId="08000000">
      <w:pPr>
        <w:pStyle w:val="Style_1"/>
        <w:spacing w:line="360" w:lineRule="auto"/>
        <w:ind w:firstLine="709"/>
        <w:jc w:val="center"/>
        <w:rPr>
          <w:rFonts w:ascii="Times New Roman" w:hAnsi="Times New Roman"/>
          <w:b w:val="0"/>
        </w:rPr>
      </w:pPr>
    </w:p>
    <w:p w14:paraId="09000000">
      <w:pPr>
        <w:pStyle w:val="Style_1"/>
        <w:spacing w:line="360" w:lineRule="auto"/>
        <w:ind w:firstLine="709"/>
        <w:jc w:val="center"/>
        <w:rPr>
          <w:rFonts w:ascii="Times New Roman" w:hAnsi="Times New Roman"/>
          <w:b w:val="0"/>
        </w:rPr>
      </w:pPr>
    </w:p>
    <w:p w14:paraId="0A000000">
      <w:pPr>
        <w:pStyle w:val="Style_1"/>
        <w:spacing w:line="360" w:lineRule="auto"/>
        <w:ind w:firstLine="709"/>
        <w:jc w:val="center"/>
        <w:rPr>
          <w:rFonts w:ascii="Times New Roman" w:hAnsi="Times New Roman"/>
          <w:b w:val="0"/>
        </w:rPr>
      </w:pPr>
    </w:p>
    <w:p w14:paraId="0B000000">
      <w:pPr>
        <w:pStyle w:val="Style_1"/>
        <w:spacing w:line="360" w:lineRule="auto"/>
        <w:ind w:firstLine="709"/>
        <w:jc w:val="center"/>
        <w:rPr>
          <w:rFonts w:ascii="Times New Roman" w:hAnsi="Times New Roman"/>
          <w:b w:val="0"/>
        </w:rPr>
      </w:pPr>
    </w:p>
    <w:p w14:paraId="0C000000">
      <w:pPr>
        <w:pStyle w:val="Style_1"/>
        <w:spacing w:line="360" w:lineRule="auto"/>
        <w:ind w:firstLine="709"/>
        <w:jc w:val="center"/>
        <w:rPr>
          <w:rFonts w:ascii="Times New Roman" w:hAnsi="Times New Roman"/>
          <w:b w:val="0"/>
        </w:rPr>
      </w:pPr>
    </w:p>
    <w:p w14:paraId="0D000000">
      <w:pPr>
        <w:pStyle w:val="Style_1"/>
        <w:spacing w:line="360" w:lineRule="auto"/>
        <w:ind w:firstLine="709"/>
        <w:jc w:val="center"/>
        <w:rPr>
          <w:rFonts w:ascii="Times New Roman" w:hAnsi="Times New Roman"/>
          <w:b w:val="0"/>
        </w:rPr>
      </w:pPr>
    </w:p>
    <w:p w14:paraId="0E000000">
      <w:pPr>
        <w:pStyle w:val="Style_1"/>
        <w:spacing w:line="360" w:lineRule="auto"/>
        <w:ind w:firstLine="709"/>
        <w:jc w:val="center"/>
        <w:rPr>
          <w:rFonts w:ascii="Times New Roman" w:hAnsi="Times New Roman"/>
          <w:b w:val="0"/>
        </w:rPr>
      </w:pPr>
      <w:r>
        <w:rPr>
          <w:rFonts w:ascii="Times New Roman" w:hAnsi="Times New Roman"/>
          <w:b w:val="0"/>
        </w:rPr>
        <w:t>И</w:t>
      </w:r>
      <w:r>
        <w:rPr>
          <w:rFonts w:ascii="Times New Roman" w:hAnsi="Times New Roman"/>
        </w:rPr>
        <w:t>следовательская работа</w:t>
      </w:r>
    </w:p>
    <w:p w14:paraId="0F000000">
      <w:pPr>
        <w:pStyle w:val="Style_1"/>
        <w:spacing w:line="360" w:lineRule="auto"/>
        <w:ind w:firstLine="709"/>
        <w:jc w:val="center"/>
        <w:rPr>
          <w:rFonts w:ascii="Times New Roman" w:hAnsi="Times New Roman"/>
          <w:b w:val="0"/>
        </w:rPr>
      </w:pPr>
      <w:r>
        <w:rPr>
          <w:rFonts w:ascii="Times New Roman" w:hAnsi="Times New Roman"/>
          <w:b w:val="1"/>
        </w:rPr>
        <w:t>Г</w:t>
      </w:r>
      <w:r>
        <w:rPr>
          <w:rFonts w:ascii="Times New Roman" w:hAnsi="Times New Roman"/>
          <w:b w:val="1"/>
        </w:rPr>
        <w:t>оловд 1891-1892 гг. в России</w:t>
      </w:r>
    </w:p>
    <w:p w14:paraId="10000000">
      <w:pPr>
        <w:pStyle w:val="Style_1"/>
        <w:spacing w:line="360" w:lineRule="auto"/>
        <w:ind w:firstLine="709"/>
        <w:jc w:val="both"/>
        <w:rPr>
          <w:rFonts w:ascii="Times New Roman" w:hAnsi="Times New Roman"/>
          <w:b w:val="0"/>
        </w:rPr>
      </w:pPr>
    </w:p>
    <w:p w14:paraId="11000000">
      <w:pPr>
        <w:pStyle w:val="Style_1"/>
        <w:spacing w:line="360" w:lineRule="auto"/>
        <w:ind w:firstLine="709"/>
        <w:jc w:val="both"/>
        <w:rPr>
          <w:rFonts w:ascii="Times New Roman" w:hAnsi="Times New Roman"/>
          <w:b w:val="0"/>
        </w:rPr>
      </w:pPr>
    </w:p>
    <w:p w14:paraId="12000000">
      <w:pPr>
        <w:pStyle w:val="Style_1"/>
        <w:spacing w:line="360" w:lineRule="auto"/>
        <w:ind w:firstLine="709"/>
        <w:jc w:val="both"/>
        <w:rPr>
          <w:rFonts w:ascii="Times New Roman" w:hAnsi="Times New Roman"/>
          <w:b w:val="0"/>
        </w:rPr>
      </w:pPr>
    </w:p>
    <w:p w14:paraId="13000000">
      <w:pPr>
        <w:pStyle w:val="Style_1"/>
        <w:spacing w:line="360" w:lineRule="auto"/>
        <w:ind w:firstLine="0"/>
        <w:jc w:val="left"/>
        <w:rPr>
          <w:rFonts w:ascii="Times New Roman" w:hAnsi="Times New Roman"/>
          <w:b w:val="0"/>
        </w:rPr>
      </w:pPr>
      <w:r>
        <w:rPr>
          <w:rFonts w:ascii="Times New Roman" w:hAnsi="Times New Roman"/>
        </w:rPr>
        <w:t>Выполнил: Курбанов Адам Эльдарович</w:t>
      </w:r>
    </w:p>
    <w:p w14:paraId="14000000">
      <w:pPr>
        <w:pStyle w:val="Style_1"/>
        <w:spacing w:line="360" w:lineRule="auto"/>
        <w:ind w:firstLine="709"/>
        <w:jc w:val="left"/>
        <w:rPr>
          <w:rFonts w:ascii="Times New Roman" w:hAnsi="Times New Roman"/>
        </w:rPr>
      </w:pPr>
      <w:r>
        <w:rPr>
          <w:rFonts w:ascii="Times New Roman" w:hAnsi="Times New Roman"/>
        </w:rPr>
        <w:t>ученик 9 «А» класса</w:t>
      </w:r>
    </w:p>
    <w:p w14:paraId="15000000">
      <w:pPr>
        <w:pStyle w:val="Style_1"/>
        <w:spacing w:line="360" w:lineRule="auto"/>
        <w:ind w:firstLine="0"/>
        <w:jc w:val="left"/>
        <w:rPr>
          <w:rFonts w:ascii="Times New Roman" w:hAnsi="Times New Roman"/>
        </w:rPr>
      </w:pPr>
      <w:r>
        <w:rPr>
          <w:rFonts w:ascii="Times New Roman" w:hAnsi="Times New Roman"/>
        </w:rPr>
        <w:t>Руководитель: Жилясова Светлана Борисовна</w:t>
      </w:r>
    </w:p>
    <w:p w14:paraId="16000000">
      <w:pPr>
        <w:pStyle w:val="Style_1"/>
        <w:spacing w:line="360" w:lineRule="auto"/>
        <w:ind w:firstLine="709"/>
        <w:jc w:val="left"/>
        <w:rPr>
          <w:rFonts w:ascii="Times New Roman" w:hAnsi="Times New Roman"/>
        </w:rPr>
      </w:pPr>
      <w:r>
        <w:rPr>
          <w:rFonts w:ascii="Times New Roman" w:hAnsi="Times New Roman"/>
        </w:rPr>
        <w:t>учитель истории и обществознания</w:t>
      </w:r>
    </w:p>
    <w:p w14:paraId="17000000">
      <w:pPr>
        <w:pStyle w:val="Style_1"/>
        <w:spacing w:line="360" w:lineRule="auto"/>
        <w:ind w:firstLine="709"/>
        <w:jc w:val="left"/>
        <w:rPr>
          <w:rFonts w:ascii="Times New Roman" w:hAnsi="Times New Roman"/>
          <w:b w:val="0"/>
        </w:rPr>
      </w:pPr>
    </w:p>
    <w:p w14:paraId="18000000">
      <w:pPr>
        <w:pStyle w:val="Style_1"/>
        <w:spacing w:line="360" w:lineRule="auto"/>
        <w:ind w:firstLine="709"/>
        <w:jc w:val="left"/>
        <w:rPr>
          <w:rFonts w:ascii="Times New Roman" w:hAnsi="Times New Roman"/>
          <w:b w:val="0"/>
        </w:rPr>
      </w:pPr>
    </w:p>
    <w:p w14:paraId="19000000">
      <w:pPr>
        <w:pStyle w:val="Style_1"/>
        <w:spacing w:line="360" w:lineRule="auto"/>
        <w:ind w:firstLine="709"/>
        <w:jc w:val="left"/>
        <w:rPr>
          <w:rFonts w:ascii="Times New Roman" w:hAnsi="Times New Roman"/>
          <w:b w:val="0"/>
        </w:rPr>
      </w:pPr>
    </w:p>
    <w:p w14:paraId="1A000000">
      <w:pPr>
        <w:pStyle w:val="Style_1"/>
        <w:spacing w:line="360" w:lineRule="auto"/>
        <w:ind w:firstLine="709"/>
        <w:jc w:val="left"/>
        <w:rPr>
          <w:rFonts w:ascii="Times New Roman" w:hAnsi="Times New Roman"/>
          <w:b w:val="0"/>
        </w:rPr>
      </w:pPr>
    </w:p>
    <w:p w14:paraId="1B000000">
      <w:pPr>
        <w:pStyle w:val="Style_1"/>
        <w:spacing w:line="360" w:lineRule="auto"/>
        <w:ind w:firstLine="709"/>
        <w:jc w:val="left"/>
        <w:rPr>
          <w:rFonts w:ascii="Times New Roman" w:hAnsi="Times New Roman"/>
          <w:b w:val="0"/>
        </w:rPr>
      </w:pPr>
    </w:p>
    <w:p w14:paraId="1C000000">
      <w:pPr>
        <w:pStyle w:val="Style_1"/>
        <w:spacing w:line="360" w:lineRule="auto"/>
        <w:ind w:firstLine="709"/>
        <w:jc w:val="left"/>
        <w:rPr>
          <w:rFonts w:ascii="Times New Roman" w:hAnsi="Times New Roman"/>
          <w:b w:val="0"/>
        </w:rPr>
      </w:pPr>
    </w:p>
    <w:p w14:paraId="1D000000">
      <w:pPr>
        <w:pStyle w:val="Style_1"/>
        <w:spacing w:line="360" w:lineRule="auto"/>
        <w:ind w:firstLine="709"/>
        <w:jc w:val="left"/>
        <w:rPr>
          <w:rFonts w:ascii="Times New Roman" w:hAnsi="Times New Roman"/>
          <w:b w:val="0"/>
        </w:rPr>
      </w:pPr>
    </w:p>
    <w:p w14:paraId="1E000000">
      <w:pPr>
        <w:pStyle w:val="Style_1"/>
        <w:spacing w:line="360" w:lineRule="auto"/>
        <w:ind w:firstLine="709"/>
        <w:jc w:val="center"/>
        <w:rPr>
          <w:rFonts w:ascii="Times New Roman" w:hAnsi="Times New Roman"/>
          <w:b w:val="0"/>
        </w:rPr>
      </w:pPr>
      <w:r>
        <w:rPr>
          <w:rFonts w:ascii="Times New Roman" w:hAnsi="Times New Roman"/>
        </w:rPr>
        <w:t>Учебный год</w:t>
      </w:r>
      <w:r>
        <w:br w:type="page"/>
      </w:r>
      <w:r>
        <w:rPr>
          <w:rFonts w:ascii="Times New Roman" w:hAnsi="Times New Roman"/>
          <w:b w:val="1"/>
        </w:rPr>
        <w:t>Введение</w:t>
      </w:r>
    </w:p>
    <w:p w14:paraId="1F000000">
      <w:pPr>
        <w:pStyle w:val="Style_1"/>
        <w:spacing w:line="360" w:lineRule="auto"/>
        <w:ind w:firstLine="709"/>
        <w:jc w:val="center"/>
        <w:rPr>
          <w:rFonts w:ascii="Times New Roman" w:hAnsi="Times New Roman"/>
          <w:b w:val="1"/>
        </w:rPr>
      </w:pPr>
    </w:p>
    <w:p w14:paraId="20000000">
      <w:pPr>
        <w:spacing w:after="0" w:before="0" w:line="360" w:lineRule="auto"/>
        <w:ind w:firstLine="709" w:left="0" w:right="0"/>
        <w:rPr>
          <w:rFonts w:ascii="Times New Roman" w:hAnsi="Times New Roman"/>
        </w:rPr>
      </w:pPr>
      <w:r>
        <w:rPr>
          <w:rFonts w:ascii="Times New Roman" w:hAnsi="Times New Roman"/>
        </w:rPr>
        <w:t>Хотим мы того или нет, в истории не только России, но и любой другой страны мира имеют место быть периоды как расцвета, так и упадка социальной жизни, благополучия населения и экономики. Они могут быть вызваны самыми различными причинами, самые частые – это войны, революции, эпидемии и т. д., но не менее частой является проблема голода.</w:t>
      </w:r>
    </w:p>
    <w:p w14:paraId="21000000">
      <w:pPr>
        <w:spacing w:after="0" w:before="0" w:line="360" w:lineRule="auto"/>
        <w:ind w:firstLine="709" w:left="0" w:right="0"/>
        <w:rPr>
          <w:rFonts w:ascii="Times New Roman" w:hAnsi="Times New Roman"/>
        </w:rPr>
      </w:pPr>
      <w:r>
        <w:rPr>
          <w:rFonts w:ascii="Times New Roman" w:hAnsi="Times New Roman"/>
        </w:rPr>
        <w:t>Голод, пожалуй, одно из самых страшных общественных явлений, которые можно себе представить, т. к. когда население, простые люди лишаются возможности удовлетворять свою основную биологическую потребность – потребность в питании, то они могут пойти на самые страшные вещи, забывая о нормах морали и этики.</w:t>
      </w:r>
    </w:p>
    <w:p w14:paraId="22000000">
      <w:pPr>
        <w:spacing w:after="0" w:before="0" w:line="360" w:lineRule="auto"/>
        <w:ind w:firstLine="709" w:left="0" w:right="0"/>
        <w:rPr>
          <w:rFonts w:ascii="Times New Roman" w:hAnsi="Times New Roman"/>
        </w:rPr>
      </w:pPr>
      <w:r>
        <w:rPr>
          <w:rFonts w:ascii="Times New Roman" w:hAnsi="Times New Roman"/>
        </w:rPr>
        <w:t>Простой пример: голод 1601–1603 гг., когда из‑за нехватки хлеба голодающие собирались в целые отряды, которые рыскали по всей стране в поисках продовольствия, грабя и убивая всех на своём пути. В качестве ещё более жуткого примера того, до чего может дойти человеческая сущность, гонимая голодом, можно вспомнить про блокадные годы в городе Ленинграде в 1941–1944 гг. В этот страшный отрезок времени бывшая столица была практически полностью отрезана от всех линий снабжения, а немецкая артиллерия и авиация срывали любые попытки доставить продовольствие в город, где из‑за дефицита хлеба, мяса и иных продуктов питания люди начали прибегать к бесчеловечным мерам: от драк с больными, женщинами и стариками за их долю хлеба (125 г) до зафиксированных случаев каннибализма, которые, к сожалению, были отнюдь не единичными – и всё это следствие голода.</w:t>
      </w:r>
    </w:p>
    <w:p w14:paraId="23000000">
      <w:pPr>
        <w:spacing w:after="0" w:before="0" w:line="360" w:lineRule="auto"/>
        <w:ind w:firstLine="709" w:left="0" w:right="0"/>
        <w:rPr>
          <w:rFonts w:ascii="Times New Roman" w:hAnsi="Times New Roman"/>
        </w:rPr>
      </w:pPr>
      <w:r>
        <w:rPr>
          <w:rFonts w:ascii="Times New Roman" w:hAnsi="Times New Roman"/>
        </w:rPr>
        <w:t>Наша же сегодняшняя тема: голод 1891–1892 гг. в России. В современной русской историографии это событие именуется как «Царь‑голод», настолько колоссальным по своим масштабам и смертоносным во всех отношениях он был. Мы разберём ключевые вопросы, касающиеся причин и последствий Царь‑голода для населения России.</w:t>
      </w:r>
    </w:p>
    <w:p w14:paraId="24000000">
      <w:pPr>
        <w:spacing w:after="0" w:before="0" w:line="360" w:lineRule="auto"/>
        <w:ind w:firstLine="709" w:left="0" w:right="0"/>
        <w:rPr>
          <w:rFonts w:ascii="Times New Roman" w:hAnsi="Times New Roman"/>
        </w:rPr>
      </w:pPr>
      <w:r>
        <w:rPr>
          <w:rFonts w:ascii="Times New Roman" w:hAnsi="Times New Roman"/>
        </w:rPr>
        <w:t>Актуальность данного исследования обусловлена тем, что на сегодняшний день в научном пространстве отсутствует крупный и всеобъемлющий труд, посвящённый голоду 1891–1892 гг. События эти получили окраску в трудах их современников, – экономистов, историков, общественных деятелей, писателей, публицистов и т. д., но современной работы на данный момент мы не имеем. Основная причина того, что многие упускают эту тему из вида, заключается в том, что она просто‑напросто сама по себе неприятна, т. к. произошла в период относительного экономического развития Российского государства в период правления царя Александра III (1881–1894 гг.), и чтобы не портить светлую картину, о голоде стараются не то чтобы умалчивать, а скорее не вспоминать.</w:t>
      </w:r>
    </w:p>
    <w:p w14:paraId="25000000">
      <w:pPr>
        <w:spacing w:after="0" w:before="0" w:line="360" w:lineRule="auto"/>
        <w:ind w:firstLine="709" w:left="0" w:right="0"/>
        <w:rPr>
          <w:rFonts w:ascii="Times New Roman" w:hAnsi="Times New Roman"/>
        </w:rPr>
      </w:pPr>
      <w:r>
        <w:rPr>
          <w:rFonts w:ascii="Times New Roman" w:hAnsi="Times New Roman"/>
        </w:rPr>
        <w:t>Цель данной работы, как я уже сказал ранее, – разобрать причины и последствия голода 1891–1892 гг., но сделать это на основе документов и точных источников для постройки целостной картины события.</w:t>
      </w:r>
    </w:p>
    <w:p w14:paraId="26000000">
      <w:pPr>
        <w:pStyle w:val="Style_1"/>
        <w:spacing w:after="0" w:before="0" w:line="360" w:lineRule="auto"/>
        <w:ind w:firstLine="709"/>
        <w:jc w:val="both"/>
        <w:rPr>
          <w:rFonts w:ascii="Times New Roman" w:hAnsi="Times New Roman"/>
          <w:b w:val="1"/>
        </w:rPr>
      </w:pPr>
    </w:p>
    <w:p w14:paraId="27000000">
      <w:pPr>
        <w:pStyle w:val="Style_1"/>
        <w:spacing w:after="0" w:before="0" w:line="360" w:lineRule="auto"/>
        <w:ind w:firstLine="709"/>
        <w:jc w:val="both"/>
        <w:rPr>
          <w:rFonts w:ascii="Times New Roman" w:hAnsi="Times New Roman"/>
          <w:b w:val="1"/>
        </w:rPr>
      </w:pPr>
    </w:p>
    <w:p w14:paraId="28000000">
      <w:pPr>
        <w:pStyle w:val="Style_1"/>
        <w:spacing w:after="0" w:before="0" w:line="360" w:lineRule="auto"/>
        <w:ind w:firstLine="709"/>
        <w:jc w:val="both"/>
        <w:rPr>
          <w:rFonts w:ascii="Times New Roman" w:hAnsi="Times New Roman"/>
        </w:rPr>
      </w:pPr>
    </w:p>
    <w:p w14:paraId="29000000">
      <w:pPr>
        <w:pStyle w:val="Style_1"/>
        <w:spacing w:after="0" w:before="0" w:line="360" w:lineRule="auto"/>
        <w:ind w:firstLine="709"/>
        <w:jc w:val="both"/>
        <w:rPr>
          <w:rFonts w:ascii="Times New Roman" w:hAnsi="Times New Roman"/>
          <w:b w:val="1"/>
        </w:rPr>
      </w:pPr>
    </w:p>
    <w:p w14:paraId="2A000000">
      <w:pPr>
        <w:pStyle w:val="Style_1"/>
        <w:spacing w:after="0" w:before="0" w:line="360" w:lineRule="auto"/>
        <w:ind w:firstLine="709"/>
        <w:jc w:val="both"/>
        <w:rPr>
          <w:rFonts w:ascii="Times New Roman" w:hAnsi="Times New Roman"/>
          <w:b w:val="1"/>
        </w:rPr>
      </w:pPr>
    </w:p>
    <w:p w14:paraId="2B000000">
      <w:pPr>
        <w:pStyle w:val="Style_1"/>
        <w:spacing w:after="0" w:before="0" w:line="360" w:lineRule="auto"/>
        <w:ind w:firstLine="709"/>
        <w:jc w:val="both"/>
        <w:rPr>
          <w:rFonts w:ascii="Times New Roman" w:hAnsi="Times New Roman"/>
        </w:rPr>
      </w:pPr>
    </w:p>
    <w:p w14:paraId="2C000000">
      <w:pPr>
        <w:pStyle w:val="Style_1"/>
        <w:spacing w:after="0" w:before="0" w:line="360" w:lineRule="auto"/>
        <w:ind w:firstLine="709"/>
        <w:jc w:val="both"/>
        <w:rPr>
          <w:rFonts w:ascii="Times New Roman" w:hAnsi="Times New Roman"/>
          <w:b w:val="1"/>
        </w:rPr>
      </w:pPr>
    </w:p>
    <w:p w14:paraId="2D000000">
      <w:pPr>
        <w:pStyle w:val="Style_1"/>
        <w:spacing w:after="0" w:before="0" w:line="360" w:lineRule="auto"/>
        <w:ind w:firstLine="709"/>
        <w:jc w:val="both"/>
        <w:rPr>
          <w:rFonts w:ascii="Times New Roman" w:hAnsi="Times New Roman"/>
          <w:b w:val="1"/>
        </w:rPr>
      </w:pPr>
    </w:p>
    <w:p w14:paraId="2E000000">
      <w:pPr>
        <w:pStyle w:val="Style_1"/>
        <w:spacing w:after="0" w:before="0" w:line="360" w:lineRule="auto"/>
        <w:ind w:firstLine="709"/>
        <w:jc w:val="both"/>
        <w:rPr>
          <w:rFonts w:ascii="Times New Roman" w:hAnsi="Times New Roman"/>
        </w:rPr>
      </w:pPr>
    </w:p>
    <w:p w14:paraId="2F000000">
      <w:pPr>
        <w:pStyle w:val="Style_1"/>
        <w:spacing w:after="0" w:before="0" w:line="360" w:lineRule="auto"/>
        <w:ind w:firstLine="709"/>
        <w:jc w:val="both"/>
        <w:rPr>
          <w:rFonts w:ascii="Times New Roman" w:hAnsi="Times New Roman"/>
          <w:b w:val="1"/>
        </w:rPr>
      </w:pPr>
    </w:p>
    <w:p w14:paraId="30000000">
      <w:pPr>
        <w:pStyle w:val="Style_1"/>
        <w:spacing w:after="0" w:before="0" w:line="360" w:lineRule="auto"/>
        <w:ind w:firstLine="709"/>
        <w:jc w:val="both"/>
        <w:rPr>
          <w:rFonts w:ascii="Times New Roman" w:hAnsi="Times New Roman"/>
          <w:b w:val="1"/>
        </w:rPr>
      </w:pPr>
    </w:p>
    <w:p w14:paraId="31000000">
      <w:pPr>
        <w:pStyle w:val="Style_1"/>
        <w:spacing w:after="0" w:before="0" w:line="360" w:lineRule="auto"/>
        <w:ind w:firstLine="709"/>
        <w:jc w:val="both"/>
        <w:rPr>
          <w:rFonts w:ascii="Times New Roman" w:hAnsi="Times New Roman"/>
        </w:rPr>
      </w:pPr>
    </w:p>
    <w:p w14:paraId="32000000">
      <w:pPr>
        <w:pStyle w:val="Style_1"/>
        <w:spacing w:after="0" w:before="0" w:line="360" w:lineRule="auto"/>
        <w:ind w:firstLine="709"/>
        <w:jc w:val="both"/>
        <w:rPr>
          <w:rFonts w:ascii="Times New Roman" w:hAnsi="Times New Roman"/>
          <w:b w:val="1"/>
        </w:rPr>
      </w:pPr>
    </w:p>
    <w:p w14:paraId="33000000">
      <w:pPr>
        <w:pStyle w:val="Style_1"/>
        <w:spacing w:after="0" w:before="0" w:line="360" w:lineRule="auto"/>
        <w:ind w:firstLine="709"/>
        <w:jc w:val="both"/>
        <w:rPr>
          <w:rFonts w:ascii="Times New Roman" w:hAnsi="Times New Roman"/>
          <w:b w:val="1"/>
        </w:rPr>
      </w:pPr>
    </w:p>
    <w:p w14:paraId="34000000">
      <w:pPr>
        <w:pStyle w:val="Style_1"/>
        <w:spacing w:after="0" w:before="0" w:line="360" w:lineRule="auto"/>
        <w:ind w:firstLine="709"/>
        <w:jc w:val="both"/>
        <w:rPr>
          <w:rFonts w:ascii="Times New Roman" w:hAnsi="Times New Roman"/>
        </w:rPr>
      </w:pPr>
    </w:p>
    <w:p w14:paraId="35000000">
      <w:pPr>
        <w:pStyle w:val="Style_1"/>
        <w:spacing w:after="0" w:before="0" w:line="360" w:lineRule="auto"/>
        <w:ind w:firstLine="709"/>
        <w:jc w:val="center"/>
        <w:rPr>
          <w:rFonts w:ascii="Times New Roman" w:hAnsi="Times New Roman"/>
          <w:b w:val="1"/>
        </w:rPr>
      </w:pPr>
    </w:p>
    <w:p w14:paraId="36000000">
      <w:pPr>
        <w:pStyle w:val="Style_1"/>
        <w:spacing w:after="0" w:before="0" w:line="360" w:lineRule="auto"/>
        <w:ind w:firstLine="709"/>
        <w:jc w:val="center"/>
        <w:rPr>
          <w:rFonts w:ascii="Times New Roman" w:hAnsi="Times New Roman"/>
          <w:b w:val="1"/>
        </w:rPr>
      </w:pPr>
      <w:r>
        <w:rPr>
          <w:rFonts w:ascii="Times New Roman" w:hAnsi="Times New Roman"/>
          <w:b w:val="1"/>
        </w:rPr>
        <w:t>Глава I. Причины голода. Борьба государства и правительства с голодом в стране</w:t>
      </w:r>
    </w:p>
    <w:p w14:paraId="37000000">
      <w:pPr>
        <w:pStyle w:val="Style_1"/>
        <w:spacing w:after="0" w:before="0" w:line="360" w:lineRule="auto"/>
        <w:ind w:firstLine="709"/>
        <w:jc w:val="center"/>
        <w:rPr>
          <w:rFonts w:ascii="Times New Roman" w:hAnsi="Times New Roman"/>
          <w:b w:val="1"/>
        </w:rPr>
      </w:pPr>
    </w:p>
    <w:p w14:paraId="38000000">
      <w:pPr>
        <w:spacing w:after="0" w:before="0" w:line="360" w:lineRule="auto"/>
        <w:ind w:firstLine="709" w:left="0" w:right="0"/>
        <w:rPr>
          <w:rFonts w:ascii="Times New Roman" w:hAnsi="Times New Roman"/>
        </w:rPr>
      </w:pPr>
      <w:r>
        <w:rPr>
          <w:rFonts w:ascii="Times New Roman" w:hAnsi="Times New Roman"/>
        </w:rPr>
        <w:t>Главной причиной голода 1891–1892 гг. стала сильная засуха и аномальная погода с осени 1890 года в ключевых хлебородных районах: Тамбовской, Воронежской, Курской, Орловской, Самарской, Казанской, Уфимской, Оренбургской губерниях, где установилась малоснежная и суровая зима, из‑за чего почва не получила достаточного количества влаги. Весна оказалась сухой, а с апреля по август стояла жара с суховеями, что уничтожило и озимые, и яровые посевы. В итоге из‑за этой погодной несуразности урожай 1891 года оказался на 26 % меньше среднего за предыдущее десятилетие.</w:t>
      </w:r>
    </w:p>
    <w:p w14:paraId="39000000">
      <w:pPr>
        <w:spacing w:after="0" w:before="0" w:line="360" w:lineRule="auto"/>
        <w:ind w:firstLine="709" w:left="0" w:right="0"/>
        <w:rPr>
          <w:rFonts w:ascii="Times New Roman" w:hAnsi="Times New Roman"/>
        </w:rPr>
      </w:pPr>
      <w:r>
        <w:rPr>
          <w:rFonts w:ascii="Times New Roman" w:hAnsi="Times New Roman"/>
        </w:rPr>
        <w:t>Особенно сильно климатические условия ударили по Черноземью, Среднему Поволжью и Приуралью, где сельское хозяйство было наиболее уязвимым.</w:t>
      </w:r>
    </w:p>
    <w:p w14:paraId="3A000000">
      <w:pPr>
        <w:spacing w:after="0" w:before="0" w:line="360" w:lineRule="auto"/>
        <w:ind w:firstLine="709" w:left="0" w:right="0"/>
        <w:rPr>
          <w:rFonts w:ascii="Times New Roman" w:hAnsi="Times New Roman"/>
        </w:rPr>
      </w:pPr>
      <w:r>
        <w:rPr>
          <w:rFonts w:ascii="Times New Roman" w:hAnsi="Times New Roman"/>
        </w:rPr>
        <w:t>Помимо природных причин, немалую роль в «Царь‑голоде» сыграли и экономические, и хозяйственные факторы, которых в России всё ещё оставалось много. Среди них:</w:t>
      </w:r>
    </w:p>
    <w:p w14:paraId="3B000000">
      <w:pPr>
        <w:spacing w:after="0" w:before="0" w:line="360" w:lineRule="auto"/>
        <w:ind w:firstLine="709" w:left="0" w:right="0"/>
        <w:rPr>
          <w:rFonts w:ascii="Times New Roman" w:hAnsi="Times New Roman"/>
        </w:rPr>
      </w:pPr>
      <w:r>
        <w:rPr>
          <w:rFonts w:ascii="Times New Roman" w:hAnsi="Times New Roman"/>
        </w:rPr>
        <w:t>Отсталые методы земледелия. К примеру, в крестьянских хозяйствах (которые были основным источником хлеба и пшеницы на прилавках и рынках) преобладали традиционные приёмы обработки земли, практически не использовались удобрения, а чередование культур было достаточно примитивным. Всё это вело к истощению почвы и делало урожаи зависимыми от погоды.</w:t>
      </w:r>
    </w:p>
    <w:p w14:paraId="3C000000">
      <w:pPr>
        <w:spacing w:after="0" w:before="0" w:line="360" w:lineRule="auto"/>
        <w:ind w:firstLine="709" w:left="0" w:right="0"/>
        <w:rPr>
          <w:rFonts w:ascii="Times New Roman" w:hAnsi="Times New Roman"/>
        </w:rPr>
      </w:pPr>
      <w:r>
        <w:rPr>
          <w:rFonts w:ascii="Times New Roman" w:hAnsi="Times New Roman"/>
        </w:rPr>
        <w:t xml:space="preserve">Для большинства крестьянских хозяйств хлеб, помимо продукта питания, был и товаром для продажи, и средством расчёта (например, уплаты долгов или налогов). Когда же урожай погиб, у семей не осталось ни еды, ни денег. Здесь раскрывается вторая причина – проблема зависимости от одного не единственного, но основополагающего источника дохода, в данном случае – хлеба. </w:t>
      </w:r>
    </w:p>
    <w:p w14:paraId="3D000000">
      <w:pPr>
        <w:spacing w:after="0" w:before="0" w:line="360" w:lineRule="auto"/>
        <w:ind w:firstLine="709" w:left="0" w:right="0"/>
        <w:rPr>
          <w:rFonts w:ascii="Times New Roman" w:hAnsi="Times New Roman"/>
        </w:rPr>
      </w:pPr>
      <w:r>
        <w:rPr>
          <w:rFonts w:ascii="Times New Roman" w:hAnsi="Times New Roman"/>
        </w:rPr>
        <w:t>Третья причина заключается в слабости рынка труда в деревне. В неурожайные годы спрос на сезонный труд падал, а так как именно на такого рода работе было занято большинство крестьянского населения, у людей просто не было возможности заработать.</w:t>
      </w:r>
    </w:p>
    <w:p w14:paraId="3E000000">
      <w:pPr>
        <w:spacing w:after="0" w:before="0" w:line="360" w:lineRule="auto"/>
        <w:ind w:firstLine="709" w:left="0" w:right="0"/>
        <w:rPr>
          <w:rFonts w:ascii="Times New Roman" w:hAnsi="Times New Roman"/>
        </w:rPr>
      </w:pPr>
      <w:r>
        <w:rPr>
          <w:rFonts w:ascii="Times New Roman" w:hAnsi="Times New Roman"/>
        </w:rPr>
        <w:t>По закону в общинах должны были храниться запасы зерна на случай неурожая, но к 1891 году в пострадавших губерниях имелось лишь около 14 % от необходимого объёма. В октябре того же года у крестьян практически полностью закончились собственные запасы хлеба — с этого момента начинается голод.</w:t>
      </w:r>
    </w:p>
    <w:p w14:paraId="3F000000">
      <w:pPr>
        <w:spacing w:after="0" w:before="0" w:line="360" w:lineRule="auto"/>
        <w:ind w:firstLine="709" w:left="0" w:right="0"/>
        <w:rPr>
          <w:rFonts w:ascii="Times New Roman" w:hAnsi="Times New Roman"/>
        </w:rPr>
      </w:pPr>
      <w:r>
        <w:rPr>
          <w:rFonts w:ascii="Times New Roman" w:hAnsi="Times New Roman"/>
        </w:rPr>
        <w:t>В это же время император Александр III получает доклад от минимтра внутренних дел Российской империи в 1889-1895 гг. И. Н. Дурново, в котором тот описывает весь масштаб проблемы, сообщая о реальных признаках бедствия: крестьяне вынуждены были добавлять в муку лебеду, жёлуди, солому, древесную кору и даже глину. После доклада Ивана Николаевича правительство наконец‑то ощутило значимость проблемы.</w:t>
      </w:r>
    </w:p>
    <w:p w14:paraId="40000000">
      <w:pPr>
        <w:spacing w:after="0" w:before="0" w:line="360" w:lineRule="auto"/>
        <w:ind w:firstLine="709" w:left="0" w:right="0"/>
        <w:rPr>
          <w:rFonts w:ascii="Times New Roman" w:hAnsi="Times New Roman"/>
        </w:rPr>
      </w:pPr>
      <w:r>
        <w:rPr>
          <w:rFonts w:ascii="Times New Roman" w:hAnsi="Times New Roman"/>
        </w:rPr>
        <w:t>Государство берёт дело под свой контроль и начинает оказывать меры по содействию голодающим. Самой первой мерой стал запрет на вывоз хлеба за границу. План был таков: держать зерно внутри страны, чтобы сбить цены на внутреннем рынке. Однако вывоз запрещали поэтапно: с 15 августа 1891 года — ржи, ржаной муки и отрубей; с 16 октября — всех остальных хлебов, кроме пшеницы; с 3 ноября — и пшеницы. Несмотря на то что такое решение хоть и помогло немного стабилизировать ситуацию, оно сильно сказалось на экономическом положении страны. Россия в этот период, несмотря на индустриализацию и расширение промышленных отраслей экономики, всё ещё оставалась преимущественно аграрной страной. Именно сельскохозяйственная продукция являлась основой экспорта за границу, ежегодно принося казне колоссальные суммы. Об отрицательном влиянии этого решения на экономику в своём докладе в октябре 1891 года рассказывал царю министр финансов Российской империи в 1887-1892 гг. И. А. Вышнеградский.</w:t>
      </w:r>
    </w:p>
    <w:p w14:paraId="41000000">
      <w:pPr>
        <w:spacing w:after="0" w:before="0" w:line="360" w:lineRule="auto"/>
        <w:ind w:firstLine="709" w:left="0" w:right="0"/>
        <w:rPr>
          <w:rFonts w:ascii="Times New Roman" w:hAnsi="Times New Roman"/>
        </w:rPr>
      </w:pPr>
      <w:r>
        <w:rPr>
          <w:rFonts w:ascii="Times New Roman" w:hAnsi="Times New Roman"/>
        </w:rPr>
        <w:t>Помимо этого, имели место льготные железнодорожные тарифы. С лета 1891 года постоянно вводили скидки на перевозки: хлебных грузов в пострадавшие губернии — до 50 % и даже ниже; на корма, картофель, кукурузу; на проезд крестьян 3‑го класса, уезжающих на заработки (на 75 %). По льготным тарифам за время кризиса перевезли около 1,43 млн тонн хлеба.</w:t>
      </w:r>
    </w:p>
    <w:p w14:paraId="42000000">
      <w:pPr>
        <w:spacing w:after="0" w:before="0" w:line="360" w:lineRule="auto"/>
        <w:ind w:firstLine="709" w:left="0" w:right="0"/>
        <w:rPr>
          <w:rFonts w:ascii="Times New Roman" w:hAnsi="Times New Roman"/>
        </w:rPr>
      </w:pPr>
      <w:r>
        <w:rPr>
          <w:rFonts w:ascii="Times New Roman" w:hAnsi="Times New Roman"/>
        </w:rPr>
        <w:t>Главным инструментом стали продовольственные и семенные ссуды: казна финансировала закупку зерна, губернские земства его закупали и распределяли по волостям и сельским обществам, а те выдавали нуждающимся в ссуду (возвратную). Стандартный размер — 30 фунтов (около 12,3 кг) зерна на едока в месяц.</w:t>
      </w:r>
    </w:p>
    <w:p w14:paraId="43000000">
      <w:pPr>
        <w:spacing w:after="0" w:before="0" w:line="360" w:lineRule="auto"/>
        <w:ind w:firstLine="709" w:left="0" w:right="0"/>
        <w:rPr>
          <w:rFonts w:ascii="Times New Roman" w:hAnsi="Times New Roman"/>
        </w:rPr>
      </w:pPr>
      <w:r>
        <w:rPr>
          <w:rFonts w:ascii="Times New Roman" w:hAnsi="Times New Roman"/>
        </w:rPr>
        <w:t>В пиковые месяцы (март — июнь 1892 года) ссуды получали 11,1–11,8 млн человек — примерно 39 % населения зоны бедствия. За период кризиса продовольственную ссуду получили 79 994 366 человек.</w:t>
      </w:r>
    </w:p>
    <w:p w14:paraId="44000000">
      <w:pPr>
        <w:spacing w:after="0" w:before="0" w:line="360" w:lineRule="auto"/>
        <w:ind w:firstLine="709" w:left="0" w:right="0"/>
        <w:rPr>
          <w:rFonts w:ascii="Times New Roman" w:hAnsi="Times New Roman"/>
        </w:rPr>
      </w:pPr>
      <w:r>
        <w:rPr>
          <w:rFonts w:ascii="Times New Roman" w:hAnsi="Times New Roman"/>
        </w:rPr>
        <w:t>Всего крестьяне получили около 109 млн пудов зерна и 4,9 млн рублей, а общие расходы казны на помощь голодавшим составили около 146 миллионов рублей, то есть 7 % всех государственных расходов за два года. Интересно, кстати, что в 1893–1894 годах большую часть задолженности крестьян простили: Александр III разрешил возвращать ссуды по усмотрению и взыскивать их не по заготовительным, а по средним ценам за 10 лет.</w:t>
      </w:r>
    </w:p>
    <w:p w14:paraId="45000000">
      <w:pPr>
        <w:spacing w:after="0" w:before="0" w:line="360" w:lineRule="auto"/>
        <w:ind w:firstLine="709" w:left="0" w:right="0"/>
        <w:rPr>
          <w:rFonts w:ascii="Times New Roman" w:hAnsi="Times New Roman"/>
        </w:rPr>
      </w:pPr>
      <w:r>
        <w:rPr>
          <w:rFonts w:ascii="Times New Roman" w:hAnsi="Times New Roman"/>
        </w:rPr>
        <w:t>Трудоспособной части населения, которой было лучше зарабатывать на хлеб, чем сидеть на ссуде, были предоставлены рабочие места. На работы ассигновали около 10 млн рублей: строительство 55 элеваторов и зернохранилищ, церквей и школ, дорожные работы, лесоразработки, обводнение, кустарные промыслы. В разгар кампании одновременно работало до 160 тысяч человек в день, заработная плата составляла 15–30 копеек в день.</w:t>
      </w:r>
    </w:p>
    <w:p w14:paraId="46000000">
      <w:pPr>
        <w:spacing w:after="0" w:before="0" w:line="360" w:lineRule="auto"/>
        <w:ind w:firstLine="709" w:left="0" w:right="0"/>
        <w:rPr>
          <w:rFonts w:ascii="Times New Roman" w:hAnsi="Times New Roman"/>
        </w:rPr>
      </w:pPr>
      <w:r>
        <w:rPr>
          <w:rFonts w:ascii="Times New Roman" w:hAnsi="Times New Roman"/>
        </w:rPr>
        <w:t>Здесь стоит упомянуть о некоторых проблемах, связанных с этой работой. В частности, зарплаты, получаемой за неё, едва хватало на обед в столовой за 13 копеек.</w:t>
      </w:r>
    </w:p>
    <w:p w14:paraId="47000000">
      <w:pPr>
        <w:spacing w:after="0" w:before="0" w:line="360" w:lineRule="auto"/>
        <w:ind w:firstLine="709" w:left="0" w:right="0"/>
        <w:rPr>
          <w:rFonts w:ascii="Times New Roman" w:hAnsi="Times New Roman"/>
        </w:rPr>
      </w:pPr>
      <w:r>
        <w:rPr>
          <w:rFonts w:ascii="Times New Roman" w:hAnsi="Times New Roman"/>
        </w:rPr>
        <w:t>Для улучшения материального положения населения были введены разного рода административные послабления: отменили сбор за выдачу паспортов в 18 губерниях, предписали губернаторам воздержаться от взыскания недоимок и быть осторожнее с выкупными платежами, разрешили крестьянам 22 губерний заготавливать дрова и хворост в казённых лесах.</w:t>
      </w:r>
    </w:p>
    <w:p w14:paraId="48000000">
      <w:pPr>
        <w:spacing w:after="0" w:before="0" w:line="360" w:lineRule="auto"/>
        <w:ind w:firstLine="709" w:left="0" w:right="0"/>
        <w:rPr>
          <w:rFonts w:ascii="Times New Roman" w:hAnsi="Times New Roman"/>
        </w:rPr>
      </w:pPr>
      <w:r>
        <w:rPr>
          <w:rFonts w:ascii="Times New Roman" w:hAnsi="Times New Roman"/>
        </w:rPr>
        <w:t>Нельзя не упомянуть про Особый комитет наследника цесаревича, созданный 18 ноября 1891 года под председательством цесаревича Николая Александровича (будущего Николая II), занимавшийся координацией благотворительности. За время своего существования комитет собрал и распределил 4,5 млн рублей пожертвований, а всего за время работы потратил 17,5 млн рублей. Помимо него, бурно работали и другие структуры, взять тот же Красный Крест: он собрал 5 млн рублей, открыл 2763 столовых, выдал 3,5 млн обедов, направлял санитарные отряды в районы эпидемий; всего было открыто свыше 10 тысяч столовых и питательных пунктов.</w:t>
      </w:r>
    </w:p>
    <w:p w14:paraId="49000000">
      <w:pPr>
        <w:spacing w:after="0" w:before="0" w:line="360" w:lineRule="auto"/>
        <w:ind w:firstLine="709" w:left="0" w:right="0"/>
        <w:rPr>
          <w:rFonts w:ascii="Times New Roman" w:hAnsi="Times New Roman"/>
        </w:rPr>
      </w:pPr>
      <w:r>
        <w:rPr>
          <w:rFonts w:ascii="Times New Roman" w:hAnsi="Times New Roman"/>
        </w:rPr>
        <w:t>Таким образом, благодаря своевременно принятым мерам ситуацию с голодом удалось стабилизировать. Перелом наступил летом 1892 года, когда был собран новый урожай. Осенью начинает восстанавливаться экономика: цены на рожь, взлетевшие с 55 копеек за пуд до 146 копеек к январю — февралю 1892‑го, после завершения закупочной кампании упали до 107–114 копеек и держались стабильными до нового урожая.</w:t>
      </w:r>
    </w:p>
    <w:p w14:paraId="4A000000">
      <w:pPr>
        <w:spacing w:after="0" w:before="0" w:line="360" w:lineRule="auto"/>
        <w:ind w:firstLine="709" w:left="0" w:right="0"/>
        <w:rPr>
          <w:rFonts w:ascii="Times New Roman" w:hAnsi="Times New Roman"/>
        </w:rPr>
      </w:pPr>
      <w:r>
        <w:rPr>
          <w:rFonts w:ascii="Times New Roman" w:hAnsi="Times New Roman"/>
        </w:rPr>
        <w:t>Полное и окончательное завершение бедствия произошло после высокого урожая 1893 года. К этому же моменту удалось преодолеть и железнодорожный кризис, восстановив привычный объём экспортных перевозок зерна.</w:t>
      </w:r>
    </w:p>
    <w:p w14:paraId="4B000000">
      <w:pPr>
        <w:spacing w:after="0" w:before="0" w:line="360" w:lineRule="auto"/>
        <w:ind w:firstLine="709" w:left="0" w:right="0"/>
        <w:rPr>
          <w:rFonts w:ascii="Times New Roman" w:hAnsi="Times New Roman"/>
        </w:rPr>
      </w:pPr>
      <w:r>
        <w:rPr>
          <w:rFonts w:ascii="Times New Roman" w:hAnsi="Times New Roman"/>
        </w:rPr>
        <w:t>К сожалению, любой голод, имеющий такой массовый характер, как «Царь‑голод», не обходится без жертв и последствий — он сам становится их катализатором. Наша история не стала исключением. Об этом — в следующей главе.</w:t>
      </w:r>
    </w:p>
    <w:p w14:paraId="4C000000">
      <w:pPr>
        <w:spacing w:after="0" w:before="0" w:line="360" w:lineRule="auto"/>
        <w:ind w:firstLine="709" w:left="0" w:right="0"/>
        <w:rPr>
          <w:rFonts w:ascii="Times New Roman" w:hAnsi="Times New Roman"/>
        </w:rPr>
      </w:pPr>
    </w:p>
    <w:p w14:paraId="4D000000">
      <w:pPr>
        <w:pStyle w:val="Style_1"/>
        <w:spacing w:after="0" w:before="0" w:line="360" w:lineRule="auto"/>
        <w:ind w:firstLine="709"/>
        <w:jc w:val="center"/>
        <w:rPr>
          <w:rFonts w:ascii="Times New Roman" w:hAnsi="Times New Roman"/>
        </w:rPr>
      </w:pPr>
      <w:r>
        <w:rPr>
          <w:rFonts w:ascii="Times New Roman" w:hAnsi="Times New Roman"/>
        </w:rPr>
        <w:br w:type="page"/>
      </w:r>
      <w:r>
        <w:rPr>
          <w:rFonts w:ascii="Times New Roman" w:hAnsi="Times New Roman"/>
          <w:b w:val="1"/>
        </w:rPr>
        <w:t>Г</w:t>
      </w:r>
      <w:r>
        <w:rPr>
          <w:rFonts w:ascii="Times New Roman" w:hAnsi="Times New Roman"/>
          <w:b w:val="1"/>
        </w:rPr>
        <w:t>л</w:t>
      </w:r>
      <w:r>
        <w:rPr>
          <w:rFonts w:ascii="Times New Roman" w:hAnsi="Times New Roman"/>
          <w:b w:val="1"/>
        </w:rPr>
        <w:t>ава II. Последствия «Царь-голода»</w:t>
      </w:r>
    </w:p>
    <w:p w14:paraId="4E000000">
      <w:pPr>
        <w:pStyle w:val="Style_1"/>
        <w:spacing w:after="0" w:before="0" w:line="360" w:lineRule="auto"/>
        <w:ind w:firstLine="709"/>
        <w:jc w:val="center"/>
        <w:rPr>
          <w:rFonts w:ascii="Times New Roman" w:hAnsi="Times New Roman"/>
        </w:rPr>
      </w:pPr>
    </w:p>
    <w:p w14:paraId="4F000000">
      <w:pPr>
        <w:spacing w:after="0" w:before="0" w:line="360" w:lineRule="auto"/>
        <w:ind w:firstLine="709" w:left="0" w:right="0"/>
        <w:rPr>
          <w:rFonts w:ascii="Times New Roman" w:hAnsi="Times New Roman"/>
        </w:rPr>
      </w:pPr>
      <w:r>
        <w:rPr>
          <w:rFonts w:ascii="Times New Roman" w:hAnsi="Times New Roman"/>
        </w:rPr>
        <w:t>Несмотря на достаточно оперативное принятие соответствующих мер в вопросе урегулирования продовольственного кризиса и последующую победу над ним, без потерь в этой «войне» обойтись не удалось.</w:t>
      </w:r>
    </w:p>
    <w:p w14:paraId="50000000">
      <w:pPr>
        <w:spacing w:after="0" w:before="0" w:line="360" w:lineRule="auto"/>
        <w:ind w:firstLine="709" w:left="0" w:right="0"/>
        <w:rPr>
          <w:rFonts w:ascii="Times New Roman" w:hAnsi="Times New Roman"/>
        </w:rPr>
      </w:pPr>
      <w:r>
        <w:rPr>
          <w:rFonts w:ascii="Times New Roman" w:hAnsi="Times New Roman"/>
        </w:rPr>
        <w:t>Самое сложное в этой ситуации — назвать точное количество погибших, т. к. многие исследователи этой темы в своих цифрах не сходятся. Если мы возьмём работы Урланиса, то там только за 1892 год число погибших будет составлять около 500 тысяч человек, а в работе Роббинса смертность только по 16 наиболее пострадавшим губерниям составляет более 407 тысяч человек.</w:t>
      </w:r>
    </w:p>
    <w:p w14:paraId="51000000">
      <w:pPr>
        <w:spacing w:after="0" w:before="0" w:line="360" w:lineRule="auto"/>
        <w:ind w:firstLine="709" w:left="0" w:right="0"/>
        <w:rPr>
          <w:rFonts w:ascii="Times New Roman" w:hAnsi="Times New Roman"/>
        </w:rPr>
      </w:pPr>
      <w:r>
        <w:rPr>
          <w:rFonts w:ascii="Times New Roman" w:hAnsi="Times New Roman"/>
        </w:rPr>
        <w:t>Самым достоверным источником можно считать работу С. А. Нефёдова и М. Эллмана: по их расчётам, сверхсмертность за весь период кризиса с 1889 по 1893 год составила около 1,3 млн человек.</w:t>
      </w:r>
    </w:p>
    <w:p w14:paraId="52000000">
      <w:pPr>
        <w:spacing w:after="0" w:before="0" w:line="360" w:lineRule="auto"/>
        <w:ind w:firstLine="709" w:left="0" w:right="0"/>
        <w:rPr>
          <w:rFonts w:ascii="Times New Roman" w:hAnsi="Times New Roman"/>
        </w:rPr>
      </w:pPr>
      <w:r>
        <w:rPr>
          <w:rFonts w:ascii="Times New Roman" w:hAnsi="Times New Roman"/>
        </w:rPr>
        <w:t>Но здесь ради чистоты исследования необходимо сделать отступление и заявить, что это число содержит также численность погибших от эпидемий, в основном от холеры и тифа. Как-либо разграничивать эти числа ни я, ни авторы работы, из которой были взяты эти цифры, не стали, т. к. тот факт, что в данный период произошла вспышка холеры и иных заболеваний, напрямую был вызван ослаблением иммунитета населения из‑за голода.</w:t>
      </w:r>
    </w:p>
    <w:p w14:paraId="53000000">
      <w:pPr>
        <w:spacing w:after="0" w:before="0" w:line="360" w:lineRule="auto"/>
        <w:ind w:firstLine="709" w:left="0" w:right="0"/>
        <w:rPr>
          <w:rFonts w:ascii="Times New Roman" w:hAnsi="Times New Roman"/>
        </w:rPr>
      </w:pPr>
      <w:r>
        <w:rPr>
          <w:rFonts w:ascii="Times New Roman" w:hAnsi="Times New Roman"/>
        </w:rPr>
        <w:t>Но события 1891–1892 годов дали почву для развития отдельных органов, которые содействовали тому, чтобы подобная ситуация впредь никогда не повторялась.</w:t>
      </w:r>
    </w:p>
    <w:p w14:paraId="54000000">
      <w:pPr>
        <w:spacing w:after="0" w:before="0" w:line="360" w:lineRule="auto"/>
        <w:ind w:firstLine="709" w:left="0" w:right="0"/>
        <w:rPr>
          <w:rFonts w:ascii="Times New Roman" w:hAnsi="Times New Roman"/>
        </w:rPr>
      </w:pPr>
      <w:r>
        <w:rPr>
          <w:rFonts w:ascii="Times New Roman" w:hAnsi="Times New Roman"/>
        </w:rPr>
        <w:t>К примеру, «царь‑голод» послужил стимулом к развитию продовольственного дела в России, и 12 июня 1900 года царь Николай II, тот самый, принимавший непосредственное участие в благотворительных акциях в период голода, утвердил «Временные правила по обеспечению продовольственных потребностей сельских обывателей», которые способствовали созданию более действенной системы мер помощи населению в случае неурожая и голода.</w:t>
      </w:r>
    </w:p>
    <w:p w14:paraId="55000000">
      <w:pPr>
        <w:spacing w:after="0" w:before="0" w:line="360" w:lineRule="auto"/>
        <w:ind w:firstLine="709" w:left="0" w:right="0"/>
        <w:rPr>
          <w:rFonts w:ascii="Times New Roman" w:hAnsi="Times New Roman"/>
        </w:rPr>
      </w:pPr>
      <w:r>
        <w:rPr>
          <w:rFonts w:ascii="Times New Roman" w:hAnsi="Times New Roman"/>
        </w:rPr>
        <w:t>Голод 1891–1892 годов, конечно, стал масштабным народным бедствием для всей России и привёл к небывалому всплеску благотворительного движения. Впрочем, об этом вы уже могли узнать из предыдущих страниц, но здесь предлагаю рассмотреть это явление более детально.</w:t>
      </w:r>
    </w:p>
    <w:p w14:paraId="56000000">
      <w:pPr>
        <w:spacing w:after="0" w:before="0" w:line="360" w:lineRule="auto"/>
        <w:ind w:firstLine="709" w:left="0" w:right="0"/>
        <w:rPr>
          <w:rFonts w:ascii="Times New Roman" w:hAnsi="Times New Roman"/>
        </w:rPr>
      </w:pPr>
      <w:r>
        <w:rPr>
          <w:rFonts w:ascii="Times New Roman" w:hAnsi="Times New Roman"/>
        </w:rPr>
        <w:t>Представлено оно было деятельностью негосударственных организаций, органов местного самоуправления, церкви, периодической печати и т. д, которые оказывали так и моральную, так и материальную помощь пострадавшим, в зависимости от своих собственных возможностей.</w:t>
      </w:r>
    </w:p>
    <w:p w14:paraId="57000000">
      <w:pPr>
        <w:spacing w:after="0" w:before="0" w:line="360" w:lineRule="auto"/>
        <w:ind w:firstLine="709" w:left="0" w:right="0"/>
        <w:rPr>
          <w:rFonts w:ascii="Times New Roman" w:hAnsi="Times New Roman"/>
        </w:rPr>
      </w:pPr>
      <w:r>
        <w:rPr>
          <w:rFonts w:ascii="Times New Roman" w:hAnsi="Times New Roman"/>
        </w:rPr>
        <w:t>Особый интерес представляет благотворительная деятельность писателя, общественного деятеля Льва Николаевича Толстого. Группа российско‑американских исследователей подготовила совместную документальную работу, посвящённую эпистолярному наследию Л. Н. Толстого. Авторами был проанализирован и опубликован значительный массив писем Толстого и его американских корреспондентов, хранящихся в архивах и музейных фондах. Издание содержит ранее неизвестную переписку Л. Н. Толстого периода 1891–1892 гг. — время, когда писатель организовал продовольственную помощь в Рязанской и Тульской губерниях и создал 246 благотворительных столовых и 124 детских приюта. Исследователь‑филолог А. А. Федотова посвятила работу, освещающую благотворительную деятельность Л. Н. Толстого и его позицию по поводу «голодного» вопроса.</w:t>
      </w:r>
    </w:p>
    <w:p w14:paraId="58000000">
      <w:pPr>
        <w:spacing w:after="0" w:before="0" w:line="360" w:lineRule="auto"/>
        <w:ind w:firstLine="709" w:left="0" w:right="0"/>
        <w:rPr>
          <w:rFonts w:ascii="Times New Roman" w:hAnsi="Times New Roman"/>
        </w:rPr>
      </w:pPr>
      <w:r>
        <w:rPr>
          <w:rFonts w:ascii="Times New Roman" w:hAnsi="Times New Roman"/>
        </w:rPr>
        <w:t>Со стороны общественности помощь оказывалась студентами Московского университета, которые отдавали все средства, полученные с концертов, голодающим. Одна из крупнейших газет «Русские ведомости», выступавшая с либеральных позиций, издавала литературный сборник «Помощь голодающим» в количестве 6100 экземпляров. Деньги, полученные от его реализации, были направлены на благотворительные цели: постройку столовых, детских приютов (для детей чьи родители умерли от голада) и прочей инфраструктуры.</w:t>
      </w:r>
    </w:p>
    <w:p w14:paraId="59000000">
      <w:pPr>
        <w:spacing w:after="0" w:before="0" w:line="360" w:lineRule="auto"/>
        <w:ind w:firstLine="709" w:left="0" w:right="0"/>
        <w:rPr>
          <w:rFonts w:ascii="Times New Roman" w:hAnsi="Times New Roman"/>
        </w:rPr>
      </w:pPr>
      <w:r>
        <w:rPr>
          <w:rFonts w:ascii="Times New Roman" w:hAnsi="Times New Roman"/>
        </w:rPr>
        <w:t>Особое место в изучении социально‑политического аспекта голода 1891–1892 гг. занимает тема помощи голодающему населению зарубежных филантропических объединений. Наиболее масштабная поддержка российскому народу была оказана американцами. Помощь заключалась в сборе денежных средств и продовольствия для голодающего населения России. Указанной теме посвящены работы Т. Виттакера, В. И. Журавлёвой, Т. М. Китаниной, В. В. Носкова, Д. М. Нечипорука. По мнению исследователей, период 1891–1892 гг. являлся первой в отечественной истории масштабной гуманитарной (продовольственной) помощью со стороны Соединённых Штатов Америки. Организация помощи голодающим осуществлялась благодаря поддержке религиозных сообществ и активной деятельности представителей российского дворянства, проживавшего за рубежом. Тем не менее российские власти осторожно воспринимали помощь зарубежных благотворителей из‑за достаточно напряжённых дипломатических взаимоотношений государств.</w:t>
      </w:r>
    </w:p>
    <w:p w14:paraId="5A000000">
      <w:pPr>
        <w:spacing w:after="0" w:before="0" w:line="360" w:lineRule="auto"/>
        <w:ind w:firstLine="709" w:left="0" w:right="0"/>
        <w:rPr>
          <w:rFonts w:ascii="Times New Roman" w:hAnsi="Times New Roman"/>
        </w:rPr>
      </w:pPr>
      <w:r>
        <w:rPr>
          <w:rFonts w:ascii="Times New Roman" w:hAnsi="Times New Roman"/>
        </w:rPr>
        <w:t>В отличие от советской исторической науки, которая абсолютно принижала действия властей во время голода, современные исследователи иначе оценивают деятельность государства в оказании помощи голодающим. Саратовский историк Н. П. Крюков даёт оценку действиям властей и рассматривает вопросы, какую роль уделяли государство и местное самоуправление в вопросах помощи нуждающимся людям, попавшим в чрезвычайные ситуации. Автор отмечает, что к концу XIX века в России насчитывалось более 14 тыс. благотворительных организаций, которые в большинстве появились в результате поисков русской общественностью мер по облегчению положения народа во время неурожаев, голода, эпидемий. Работа И. А. Тарасовой посвящена анализу совместной деятельности Министерства внутренних дел и органов местного самоуправления по ликвидации последствий неурожая 1891 г., в которой автор приходит к выводу, что совместная работа указанных ведомств была эффективной, и даёт хорошую оценку деятельности МВД.</w:t>
      </w:r>
    </w:p>
    <w:p w14:paraId="5B000000">
      <w:pPr>
        <w:spacing w:after="0" w:before="0" w:line="360" w:lineRule="auto"/>
        <w:ind w:firstLine="709"/>
        <w:jc w:val="center"/>
        <w:rPr>
          <w:rFonts w:ascii="Times New Roman" w:hAnsi="Times New Roman"/>
          <w:b w:val="1"/>
        </w:rPr>
      </w:pPr>
      <w:r>
        <w:rPr>
          <w:rFonts w:ascii="Times New Roman" w:hAnsi="Times New Roman"/>
          <w:b w:val="1"/>
        </w:rPr>
        <w:t>Заключение</w:t>
      </w:r>
    </w:p>
    <w:p w14:paraId="5C000000">
      <w:pPr>
        <w:spacing w:after="0" w:before="0" w:line="360" w:lineRule="auto"/>
        <w:ind w:firstLine="709"/>
        <w:jc w:val="center"/>
        <w:rPr>
          <w:rFonts w:ascii="Times New Roman" w:hAnsi="Times New Roman"/>
          <w:b w:val="1"/>
        </w:rPr>
      </w:pPr>
    </w:p>
    <w:p w14:paraId="5D000000">
      <w:pPr>
        <w:spacing w:after="0" w:before="0" w:line="360" w:lineRule="auto"/>
        <w:ind w:firstLine="709" w:left="0" w:right="0"/>
        <w:jc w:val="both"/>
        <w:rPr>
          <w:rFonts w:ascii="Times New Roman" w:hAnsi="Times New Roman"/>
        </w:rPr>
      </w:pPr>
      <w:r>
        <w:rPr>
          <w:rFonts w:ascii="Times New Roman" w:hAnsi="Times New Roman"/>
        </w:rPr>
        <w:t>Голод 1891–1892 годов — одна из самых трагичных страничек в истории нашего Отечества, но, к сожалению, не единственная. В нашей истории, как и в истории любой страны (об этом уже было сказано в самом начале), полно подобных моментов. Взять хотя бы самые «яркие» из них: Смутное время, Отечественная война 1812 года, Крымская война, Русско‑японская война, Первая мировая, Великая Отечественная.</w:t>
      </w:r>
    </w:p>
    <w:p w14:paraId="5E000000">
      <w:pPr>
        <w:spacing w:after="0" w:before="0" w:line="360" w:lineRule="auto"/>
        <w:ind w:firstLine="709" w:left="0" w:right="0"/>
        <w:jc w:val="both"/>
        <w:rPr>
          <w:rFonts w:ascii="Times New Roman" w:hAnsi="Times New Roman"/>
        </w:rPr>
      </w:pPr>
      <w:r>
        <w:rPr>
          <w:rFonts w:ascii="Times New Roman" w:hAnsi="Times New Roman"/>
        </w:rPr>
        <w:t>Но что объединяет все эти события? Казалось бы, все они произошли в разные временные отрезки, по разным причинам, завершились разными сценариями и имели разные последствия для страны. Объединяет их тот факт, что каждый из этих раз народ, страна, родина — непоколебимым столбом, несдвигаемой глыбой — становились на пути неприятеля. Отдельные герои отдавали жизни во благо страны и её процветания, светлые умы и разумы придумывали идеи и новые концепции, дабы улучшить свою страну. Не это ли и есть тот самый русский дух?</w:t>
      </w:r>
    </w:p>
    <w:p w14:paraId="5F000000">
      <w:pPr>
        <w:spacing w:after="0" w:before="0" w:line="360" w:lineRule="auto"/>
        <w:ind w:firstLine="709" w:left="0" w:right="0"/>
        <w:jc w:val="both"/>
        <w:rPr>
          <w:rFonts w:ascii="Times New Roman" w:hAnsi="Times New Roman"/>
        </w:rPr>
      </w:pPr>
      <w:r>
        <w:rPr>
          <w:rFonts w:ascii="Times New Roman" w:hAnsi="Times New Roman"/>
        </w:rPr>
        <w:t>Многим он непонятен, неприветлив и кажется нелогичным, а в некоторых местах даже глупым. Но что же поделать — это и есть особенность русского народа, который в вопросе помощи близким и стране забывает про всё, включая собственные удобства, комфорт, а в отдельных случаях и жизнь. Это и есть высший дар русского народа — дар доброты и сострадательности, дар, безусловно, геройский.</w:t>
      </w:r>
    </w:p>
    <w:p w14:paraId="60000000">
      <w:pPr>
        <w:spacing w:line="360" w:lineRule="auto"/>
        <w:ind w:firstLine="709"/>
      </w:pPr>
      <w:r>
        <w:br w:type="page"/>
      </w:r>
      <w:r>
        <w:rPr>
          <w:rFonts w:ascii="Times New Roman" w:hAnsi="Times New Roman"/>
          <w:b w:val="1"/>
        </w:rPr>
        <w:t>Библиографический список</w:t>
      </w:r>
    </w:p>
    <w:p w14:paraId="61000000">
      <w:pPr>
        <w:pStyle w:val="Style_1"/>
        <w:spacing w:after="0" w:before="0" w:line="360" w:lineRule="auto"/>
        <w:ind w:firstLine="709"/>
        <w:jc w:val="center"/>
        <w:rPr>
          <w:rFonts w:ascii="Times New Roman" w:hAnsi="Times New Roman"/>
          <w:b w:val="1"/>
        </w:rPr>
      </w:pPr>
    </w:p>
    <w:p w14:paraId="62000000">
      <w:pPr>
        <w:pStyle w:val="Style_1"/>
        <w:spacing w:after="0" w:before="0" w:line="360" w:lineRule="auto"/>
        <w:ind w:firstLine="709"/>
        <w:jc w:val="center"/>
        <w:rPr>
          <w:rFonts w:ascii="Times New Roman" w:hAnsi="Times New Roman"/>
          <w:b w:val="1"/>
        </w:rPr>
      </w:pPr>
    </w:p>
    <w:p w14:paraId="63000000">
      <w:pPr>
        <w:pStyle w:val="Style_2"/>
        <w:numPr>
          <w:numId w:val="1"/>
        </w:numPr>
        <w:spacing w:line="240" w:lineRule="auto"/>
        <w:ind/>
        <w:rPr>
          <w:rFonts w:ascii="Times New Roman" w:hAnsi="Times New Roman"/>
          <w:sz w:val="28"/>
        </w:rPr>
      </w:pPr>
      <w:r>
        <w:rPr>
          <w:rFonts w:ascii="Times New Roman" w:hAnsi="Times New Roman"/>
          <w:sz w:val="28"/>
        </w:rPr>
        <w:t xml:space="preserve">Главные результаты урожая 1891 г. // Временник Центрального статистического комитета Министерства внутренних дел. – Санкт-Петербург: Центр. стат. ком. М-ва вн. дел, 1891. – [8], 31 с. – URL: </w:t>
      </w:r>
      <w:r>
        <w:rPr>
          <w:rStyle w:val="Style_3_ch"/>
          <w:rFonts w:ascii="Times New Roman" w:hAnsi="Times New Roman"/>
          <w:sz w:val="28"/>
        </w:rPr>
        <w:fldChar w:fldCharType="begin"/>
      </w:r>
      <w:r>
        <w:rPr>
          <w:rStyle w:val="Style_3_ch"/>
          <w:rFonts w:ascii="Times New Roman" w:hAnsi="Times New Roman"/>
          <w:sz w:val="28"/>
        </w:rPr>
        <w:instrText>HYPERLINK "https://www.prlib.ru/item/964382"</w:instrText>
      </w:r>
      <w:r>
        <w:rPr>
          <w:rStyle w:val="Style_3_ch"/>
          <w:rFonts w:ascii="Times New Roman" w:hAnsi="Times New Roman"/>
          <w:sz w:val="28"/>
        </w:rPr>
        <w:fldChar w:fldCharType="separate"/>
      </w:r>
      <w:r>
        <w:rPr>
          <w:rStyle w:val="Style_3_ch"/>
          <w:rFonts w:ascii="Times New Roman" w:hAnsi="Times New Roman"/>
          <w:sz w:val="28"/>
        </w:rPr>
        <w:t>https://www.prlib.ru/item/964382</w:t>
      </w:r>
      <w:r>
        <w:rPr>
          <w:rStyle w:val="Style_3_ch"/>
          <w:rFonts w:ascii="Times New Roman" w:hAnsi="Times New Roman"/>
          <w:sz w:val="28"/>
        </w:rPr>
        <w:fldChar w:fldCharType="end"/>
      </w:r>
      <w:r>
        <w:rPr>
          <w:rFonts w:ascii="Times New Roman" w:hAnsi="Times New Roman"/>
          <w:sz w:val="28"/>
        </w:rPr>
        <w:t xml:space="preserve"> (дата обращения: 23. 10. 2026). </w:t>
      </w:r>
    </w:p>
    <w:p w14:paraId="64000000">
      <w:pPr>
        <w:pStyle w:val="Style_2"/>
        <w:numPr>
          <w:numId w:val="1"/>
        </w:numPr>
        <w:rPr>
          <w:rFonts w:ascii="Times New Roman" w:hAnsi="Times New Roman"/>
          <w:sz w:val="28"/>
        </w:rPr>
      </w:pPr>
      <w:r>
        <w:rPr>
          <w:rFonts w:ascii="Times New Roman" w:hAnsi="Times New Roman"/>
          <w:sz w:val="28"/>
        </w:rPr>
        <w:t>Обухов В. М. Урожай и продовольственное положение крестьянства в 1891-1892 гг. // Исторические записки. – М.: Изд-во АН СССР, 1950. – Т. 34.</w:t>
      </w:r>
    </w:p>
    <w:p w14:paraId="65000000">
      <w:pPr>
        <w:pStyle w:val="Style_2"/>
        <w:numPr>
          <w:numId w:val="1"/>
        </w:numPr>
        <w:rPr>
          <w:rFonts w:ascii="Times New Roman" w:hAnsi="Times New Roman"/>
          <w:sz w:val="28"/>
        </w:rPr>
      </w:pPr>
      <w:r>
        <w:rPr>
          <w:rFonts w:ascii="Times New Roman" w:hAnsi="Times New Roman"/>
          <w:sz w:val="28"/>
        </w:rPr>
        <w:t>Дневник государственного секретаря А. А. Половцова / под ред. П. А. Зайончковского. – М., 1966. – Т. 2. – С. 383.</w:t>
      </w:r>
    </w:p>
    <w:p w14:paraId="66000000">
      <w:pPr>
        <w:pStyle w:val="Style_2"/>
        <w:numPr>
          <w:numId w:val="1"/>
        </w:numPr>
        <w:rPr>
          <w:rFonts w:ascii="Times New Roman" w:hAnsi="Times New Roman"/>
          <w:sz w:val="28"/>
        </w:rPr>
      </w:pPr>
      <w:r>
        <w:rPr>
          <w:rFonts w:ascii="Times New Roman" w:hAnsi="Times New Roman"/>
          <w:sz w:val="28"/>
        </w:rPr>
        <w:t>Полное собрание законов Российской империи. Собр. 3-е. Т. XI. – СПБ., 1894. – Отд. 1. – С. 545-546, 573-574, 589-590.</w:t>
      </w:r>
    </w:p>
    <w:p w14:paraId="67000000">
      <w:pPr>
        <w:pStyle w:val="Style_2"/>
        <w:numPr>
          <w:numId w:val="1"/>
        </w:numPr>
        <w:rPr>
          <w:rFonts w:ascii="Times New Roman" w:hAnsi="Times New Roman"/>
          <w:sz w:val="28"/>
        </w:rPr>
      </w:pPr>
      <w:r>
        <w:rPr>
          <w:rFonts w:ascii="Times New Roman" w:hAnsi="Times New Roman"/>
          <w:sz w:val="28"/>
        </w:rPr>
        <w:t>Всеподданейший доклад министра финансов о государственной росписи доходов  и расходов на 1892 год. – СПБ., 1891. – С. 15, 17, 18.</w:t>
      </w:r>
    </w:p>
    <w:p w14:paraId="68000000">
      <w:pPr>
        <w:pStyle w:val="Style_2"/>
        <w:numPr>
          <w:numId w:val="1"/>
        </w:numPr>
        <w:rPr>
          <w:rFonts w:ascii="Times New Roman" w:hAnsi="Times New Roman"/>
          <w:sz w:val="28"/>
        </w:rPr>
      </w:pPr>
      <w:r>
        <w:rPr>
          <w:rFonts w:ascii="Times New Roman" w:hAnsi="Times New Roman"/>
          <w:sz w:val="28"/>
        </w:rPr>
        <w:t>Степанов В. Л. Министр финансов И. А. Вышнеградский и голод 1891-1892 гг. // Российская история. – 2023. – № 5. – С. 47-69.</w:t>
      </w:r>
    </w:p>
    <w:p w14:paraId="69000000">
      <w:pPr>
        <w:pStyle w:val="Style_2"/>
        <w:numPr>
          <w:numId w:val="1"/>
        </w:numPr>
        <w:rPr>
          <w:rFonts w:ascii="Times New Roman" w:hAnsi="Times New Roman"/>
          <w:sz w:val="28"/>
        </w:rPr>
      </w:pPr>
      <w:r>
        <w:rPr>
          <w:rFonts w:ascii="Times New Roman" w:hAnsi="Times New Roman"/>
          <w:sz w:val="28"/>
        </w:rPr>
        <w:t>Понарин П. В. Земская реакция на голод 1891-1892 гг. в Российской империи (на примере Тульской губернии) // Genesis: исторические исследования. – 2017. – № 6.; см. также: Устав об обеспечении народного продовольствия // Свод законов Российской империи. – Т. XIII (изд. 1892 г.).</w:t>
      </w:r>
    </w:p>
    <w:p w14:paraId="6A000000">
      <w:pPr>
        <w:pStyle w:val="Style_2"/>
        <w:numPr>
          <w:numId w:val="1"/>
        </w:numPr>
        <w:rPr>
          <w:rFonts w:ascii="Times New Roman" w:hAnsi="Times New Roman"/>
          <w:sz w:val="28"/>
        </w:rPr>
      </w:pPr>
      <w:r>
        <w:rPr>
          <w:rFonts w:ascii="Times New Roman" w:hAnsi="Times New Roman"/>
          <w:sz w:val="28"/>
        </w:rPr>
        <w:t>Соколов Н. П. Голод 1891-1892 годов и общественно-политическая борьба в России. – М., 1987. – С. 78-82, 115.</w:t>
      </w:r>
    </w:p>
    <w:p w14:paraId="6B000000">
      <w:pPr>
        <w:pStyle w:val="Style_2"/>
        <w:numPr>
          <w:numId w:val="1"/>
        </w:numPr>
        <w:rPr>
          <w:rFonts w:ascii="Times New Roman" w:hAnsi="Times New Roman"/>
          <w:sz w:val="28"/>
        </w:rPr>
      </w:pPr>
      <w:r>
        <w:rPr>
          <w:rFonts w:ascii="Times New Roman" w:hAnsi="Times New Roman"/>
          <w:sz w:val="28"/>
        </w:rPr>
        <w:t>Временник Центрального статистического комитета МВД. – 1894. – № 28. – С. 118-124</w:t>
      </w:r>
    </w:p>
    <w:p w14:paraId="6C000000">
      <w:pPr>
        <w:pStyle w:val="Style_2"/>
        <w:numPr>
          <w:numId w:val="1"/>
        </w:numPr>
        <w:rPr>
          <w:rFonts w:ascii="Times New Roman" w:hAnsi="Times New Roman"/>
          <w:sz w:val="28"/>
        </w:rPr>
      </w:pPr>
      <w:r>
        <w:rPr>
          <w:rFonts w:ascii="Times New Roman" w:hAnsi="Times New Roman"/>
          <w:sz w:val="28"/>
        </w:rPr>
        <w:t>Ермолов А. С. Наши неурожаи и продовольственный вопрос. – СПБ., 1909. – Ч. I. – C. 103-106, 348-349.</w:t>
      </w:r>
    </w:p>
    <w:p w14:paraId="6D000000">
      <w:pPr>
        <w:pStyle w:val="Style_1"/>
        <w:numPr>
          <w:numId w:val="1"/>
        </w:numPr>
        <w:spacing w:after="0" w:before="0" w:line="240" w:lineRule="auto"/>
        <w:ind/>
        <w:jc w:val="both"/>
        <w:rPr>
          <w:rFonts w:ascii="Times New Roman" w:hAnsi="Times New Roman"/>
          <w:b w:val="0"/>
          <w:sz w:val="28"/>
        </w:rPr>
      </w:pPr>
      <w:r>
        <w:rPr>
          <w:rFonts w:ascii="Times New Roman" w:hAnsi="Times New Roman"/>
          <w:sz w:val="28"/>
        </w:rPr>
        <w:t>Белокуров Е. В. Продовольственная компания 1901-1902 годов... – С. 27-38.</w:t>
      </w:r>
    </w:p>
    <w:p w14:paraId="6E000000">
      <w:pPr>
        <w:pStyle w:val="Style_2"/>
        <w:numPr>
          <w:numId w:val="1"/>
        </w:numPr>
        <w:rPr>
          <w:rFonts w:ascii="Times New Roman" w:hAnsi="Times New Roman"/>
          <w:sz w:val="28"/>
        </w:rPr>
      </w:pPr>
      <w:r>
        <w:rPr>
          <w:rFonts w:ascii="Times New Roman" w:hAnsi="Times New Roman"/>
          <w:sz w:val="28"/>
        </w:rPr>
        <w:t xml:space="preserve"> Филимонов В. Я. «Новый продовольственный закон». – М., 1902. – С. 6;</w:t>
      </w:r>
    </w:p>
    <w:p w14:paraId="6F000000">
      <w:pPr>
        <w:pStyle w:val="Style_2"/>
        <w:numPr>
          <w:numId w:val="1"/>
        </w:numPr>
        <w:rPr>
          <w:rFonts w:ascii="Times New Roman" w:hAnsi="Times New Roman"/>
          <w:sz w:val="28"/>
        </w:rPr>
      </w:pPr>
      <w:r>
        <w:rPr>
          <w:rFonts w:ascii="Times New Roman" w:hAnsi="Times New Roman"/>
          <w:sz w:val="28"/>
        </w:rPr>
        <w:t xml:space="preserve"> </w:t>
      </w:r>
      <w:r>
        <w:rPr>
          <w:rFonts w:ascii="Times New Roman" w:hAnsi="Times New Roman"/>
          <w:sz w:val="28"/>
        </w:rPr>
        <w:t>Фоломеев С. Н. Власть и общество в условиях кризиса... // Историческая психология и социология истории. – 2015. – Т. 8, № 2.</w:t>
      </w:r>
    </w:p>
    <w:p w14:paraId="70000000">
      <w:pPr>
        <w:pStyle w:val="Style_2"/>
        <w:numPr>
          <w:numId w:val="1"/>
        </w:numPr>
        <w:rPr>
          <w:rFonts w:ascii="Times New Roman" w:hAnsi="Times New Roman"/>
          <w:sz w:val="28"/>
        </w:rPr>
      </w:pPr>
      <w:r>
        <w:rPr>
          <w:rFonts w:ascii="Times New Roman" w:hAnsi="Times New Roman"/>
          <w:sz w:val="28"/>
        </w:rPr>
        <w:t>Фоломеев С. Н. Власть и общество в условиях кризиса... – Там же [14].</w:t>
      </w:r>
    </w:p>
    <w:p w14:paraId="71000000">
      <w:pPr>
        <w:pStyle w:val="Style_2"/>
        <w:numPr>
          <w:numId w:val="1"/>
        </w:numPr>
        <w:rPr>
          <w:rFonts w:ascii="Times New Roman" w:hAnsi="Times New Roman"/>
          <w:sz w:val="28"/>
        </w:rPr>
      </w:pPr>
      <w:r>
        <w:rPr>
          <w:rFonts w:ascii="Times New Roman" w:hAnsi="Times New Roman"/>
          <w:sz w:val="28"/>
        </w:rPr>
        <w:t xml:space="preserve"> Толстой Л. Н. О голоде // Полное собрание сочинений. – URL: </w:t>
      </w:r>
      <w:r>
        <w:rPr>
          <w:rStyle w:val="Style_3_ch"/>
          <w:rFonts w:ascii="Times New Roman" w:hAnsi="Times New Roman"/>
          <w:sz w:val="28"/>
        </w:rPr>
        <w:fldChar w:fldCharType="begin"/>
      </w:r>
      <w:r>
        <w:rPr>
          <w:rStyle w:val="Style_3_ch"/>
          <w:rFonts w:ascii="Times New Roman" w:hAnsi="Times New Roman"/>
          <w:sz w:val="28"/>
        </w:rPr>
        <w:instrText>HYPERLINK "https://ru.wikisource.org/wiki/О_голоде_(Толстой)"</w:instrText>
      </w:r>
      <w:r>
        <w:rPr>
          <w:rStyle w:val="Style_3_ch"/>
          <w:rFonts w:ascii="Times New Roman" w:hAnsi="Times New Roman"/>
          <w:sz w:val="28"/>
        </w:rPr>
        <w:fldChar w:fldCharType="separate"/>
      </w:r>
      <w:r>
        <w:rPr>
          <w:rStyle w:val="Style_3_ch"/>
          <w:rFonts w:ascii="Times New Roman" w:hAnsi="Times New Roman"/>
          <w:sz w:val="28"/>
        </w:rPr>
        <w:t>https://ru.wikisource.org/wiki/О_голоде_(Толстой)</w:t>
      </w:r>
      <w:r>
        <w:rPr>
          <w:rStyle w:val="Style_3_ch"/>
          <w:rFonts w:ascii="Times New Roman" w:hAnsi="Times New Roman"/>
          <w:sz w:val="28"/>
        </w:rPr>
        <w:fldChar w:fldCharType="end"/>
      </w:r>
      <w:r>
        <w:rPr>
          <w:rFonts w:ascii="Times New Roman" w:hAnsi="Times New Roman"/>
          <w:sz w:val="28"/>
        </w:rPr>
        <w:t xml:space="preserve"> (дата обращения: 23.10.2026)</w:t>
      </w:r>
    </w:p>
    <w:p w14:paraId="72000000">
      <w:pPr>
        <w:pStyle w:val="Style_2"/>
        <w:numPr>
          <w:numId w:val="1"/>
        </w:numPr>
        <w:rPr>
          <w:rFonts w:ascii="Times New Roman" w:hAnsi="Times New Roman"/>
          <w:sz w:val="28"/>
        </w:rPr>
      </w:pPr>
      <w:r>
        <w:rPr>
          <w:rFonts w:ascii="Times New Roman" w:hAnsi="Times New Roman"/>
          <w:sz w:val="28"/>
        </w:rPr>
        <w:t>Соколов Н. П. Голод 1891-1892 годов... – С. 78-82, 115.</w:t>
      </w:r>
    </w:p>
    <w:p w14:paraId="73000000">
      <w:pPr>
        <w:pStyle w:val="Style_2"/>
        <w:numPr>
          <w:numId w:val="1"/>
        </w:numPr>
        <w:rPr>
          <w:rFonts w:ascii="Times New Roman" w:hAnsi="Times New Roman"/>
          <w:sz w:val="28"/>
        </w:rPr>
      </w:pPr>
      <w:r>
        <w:rPr>
          <w:rFonts w:ascii="Times New Roman" w:hAnsi="Times New Roman"/>
          <w:sz w:val="28"/>
        </w:rPr>
        <w:t>Ермолов А. С. Наши неурожаи и продовольственный вопрос. – СПБ., 1909. – С. 112-113 (цит. по: Рогожина А. С. Деятельность Общества Красного Креста во время голода 1891-1892 гг. // Русский сборник. – Брянск, 2016. – Вып. 8/2. – С. 232-235).</w:t>
      </w:r>
    </w:p>
    <w:p w14:paraId="74000000">
      <w:pPr>
        <w:pStyle w:val="Style_1"/>
        <w:numPr>
          <w:numId w:val="1"/>
        </w:numPr>
        <w:spacing w:after="0" w:before="0" w:line="240" w:lineRule="auto"/>
        <w:ind/>
        <w:jc w:val="both"/>
        <w:rPr>
          <w:rFonts w:ascii="Times New Roman" w:hAnsi="Times New Roman"/>
          <w:sz w:val="28"/>
        </w:rPr>
      </w:pPr>
      <w:r>
        <w:rPr>
          <w:rFonts w:ascii="Times New Roman" w:hAnsi="Times New Roman"/>
          <w:sz w:val="28"/>
        </w:rPr>
        <w:t xml:space="preserve">Nefedov S., Ellman M. Excess Mortality in Russia in 1868-1912 and its Historiographic Implications // Social Evolution &amp; History. – 2021/ – Vol. 20, № 1. – P. 179-183. – URL: </w:t>
      </w:r>
      <w:r>
        <w:rPr>
          <w:rStyle w:val="Style_3_ch"/>
          <w:rFonts w:ascii="Times New Roman" w:hAnsi="Times New Roman"/>
          <w:sz w:val="28"/>
        </w:rPr>
        <w:fldChar w:fldCharType="begin"/>
      </w:r>
      <w:r>
        <w:rPr>
          <w:rStyle w:val="Style_3_ch"/>
          <w:rFonts w:ascii="Times New Roman" w:hAnsi="Times New Roman"/>
          <w:sz w:val="28"/>
        </w:rPr>
        <w:instrText>HYPERLINK "https://sociostudies.org"</w:instrText>
      </w:r>
      <w:r>
        <w:rPr>
          <w:rStyle w:val="Style_3_ch"/>
          <w:rFonts w:ascii="Times New Roman" w:hAnsi="Times New Roman"/>
          <w:sz w:val="28"/>
        </w:rPr>
        <w:fldChar w:fldCharType="separate"/>
      </w:r>
      <w:r>
        <w:rPr>
          <w:rStyle w:val="Style_3_ch"/>
          <w:rFonts w:ascii="Times New Roman" w:hAnsi="Times New Roman"/>
          <w:sz w:val="28"/>
        </w:rPr>
        <w:t>https://sociostudies.org</w:t>
      </w:r>
      <w:r>
        <w:rPr>
          <w:rStyle w:val="Style_3_ch"/>
          <w:rFonts w:ascii="Times New Roman" w:hAnsi="Times New Roman"/>
          <w:sz w:val="28"/>
        </w:rPr>
        <w:fldChar w:fldCharType="end"/>
      </w:r>
      <w:r>
        <w:rPr>
          <w:rFonts w:ascii="Times New Roman" w:hAnsi="Times New Roman"/>
          <w:sz w:val="28"/>
        </w:rPr>
        <w:t xml:space="preserve"> (дата обращения: 23.10.2026).</w:t>
      </w:r>
    </w:p>
    <w:p w14:paraId="75000000">
      <w:pPr>
        <w:pStyle w:val="Style_1"/>
        <w:numPr>
          <w:numId w:val="1"/>
        </w:numPr>
        <w:spacing w:after="0" w:before="0" w:line="240" w:lineRule="auto"/>
        <w:ind/>
        <w:jc w:val="both"/>
        <w:rPr>
          <w:rFonts w:ascii="Times New Roman" w:hAnsi="Times New Roman"/>
          <w:sz w:val="28"/>
        </w:rPr>
      </w:pPr>
      <w:r>
        <w:rPr>
          <w:rFonts w:ascii="Times New Roman" w:hAnsi="Times New Roman"/>
          <w:sz w:val="28"/>
        </w:rPr>
        <w:t>Корнилов Г. Е. Формирование системы продовольственной безопасности населения России в первой половине XX века // Российская история. 2011. № 3. С. 91-101.</w:t>
      </w:r>
    </w:p>
    <w:p w14:paraId="76000000">
      <w:pPr>
        <w:numPr>
          <w:numId w:val="1"/>
        </w:numPr>
        <w:rPr>
          <w:rFonts w:ascii="Times New Roman" w:hAnsi="Times New Roman"/>
          <w:sz w:val="28"/>
        </w:rPr>
      </w:pPr>
      <w:r>
        <w:rPr>
          <w:rFonts w:ascii="Times New Roman" w:hAnsi="Times New Roman"/>
          <w:sz w:val="28"/>
        </w:rPr>
        <w:t xml:space="preserve">Мокроносова О.М. Благотворительные организации во второй половине ХIХ-начале </w:t>
      </w:r>
      <w:r>
        <w:rPr>
          <w:rFonts w:ascii="Times New Roman" w:hAnsi="Times New Roman"/>
          <w:sz w:val="28"/>
        </w:rPr>
        <w:t>ХХ вв.: На материалах Южного Урала: автореф. дис…к.и.н. – Оренбург, 2002.</w:t>
      </w:r>
    </w:p>
    <w:p w14:paraId="77000000">
      <w:pPr>
        <w:numPr>
          <w:numId w:val="1"/>
        </w:numPr>
        <w:rPr>
          <w:rFonts w:ascii="Times New Roman" w:hAnsi="Times New Roman"/>
          <w:sz w:val="28"/>
        </w:rPr>
      </w:pPr>
      <w:r>
        <w:rPr>
          <w:rFonts w:ascii="Times New Roman" w:hAnsi="Times New Roman"/>
          <w:sz w:val="28"/>
        </w:rPr>
        <w:t xml:space="preserve">Коробейников Ю.В. Исторический опыт осуществления общественной помощи </w:t>
      </w:r>
      <w:r>
        <w:rPr>
          <w:rFonts w:ascii="Times New Roman" w:hAnsi="Times New Roman"/>
          <w:sz w:val="28"/>
        </w:rPr>
        <w:t xml:space="preserve">нуждающимся органами местного самоуправления России в 1864-1917 гг.: автореф. </w:t>
      </w:r>
      <w:r>
        <w:rPr>
          <w:rFonts w:ascii="Times New Roman" w:hAnsi="Times New Roman"/>
          <w:sz w:val="28"/>
        </w:rPr>
        <w:t>дис…к.и.н. – Ставрополь, 2003.</w:t>
      </w:r>
    </w:p>
    <w:p w14:paraId="78000000">
      <w:pPr>
        <w:numPr>
          <w:numId w:val="1"/>
        </w:numPr>
        <w:rPr>
          <w:rFonts w:ascii="Times New Roman" w:hAnsi="Times New Roman"/>
          <w:sz w:val="28"/>
        </w:rPr>
      </w:pPr>
      <w:r>
        <w:rPr>
          <w:rFonts w:ascii="Times New Roman" w:hAnsi="Times New Roman"/>
          <w:sz w:val="28"/>
        </w:rPr>
        <w:t>Пислегин Н.В. Социальная активность и общественные организации Вятско-</w:t>
      </w:r>
      <w:r>
        <w:rPr>
          <w:rFonts w:ascii="Times New Roman" w:hAnsi="Times New Roman"/>
          <w:sz w:val="28"/>
        </w:rPr>
        <w:t xml:space="preserve">камского края в XIX – начале XX века // Вестник Челябинского государственного </w:t>
      </w:r>
      <w:r>
        <w:rPr>
          <w:rFonts w:ascii="Times New Roman" w:hAnsi="Times New Roman"/>
          <w:sz w:val="28"/>
        </w:rPr>
        <w:t>университета. 2012. № 25 (279). История. Вып. 52. С. 31–38.</w:t>
      </w:r>
    </w:p>
    <w:p w14:paraId="79000000">
      <w:pPr>
        <w:numPr>
          <w:numId w:val="1"/>
        </w:numPr>
        <w:rPr>
          <w:rFonts w:ascii="Times New Roman" w:hAnsi="Times New Roman"/>
          <w:sz w:val="28"/>
        </w:rPr>
      </w:pPr>
      <w:r>
        <w:rPr>
          <w:rFonts w:ascii="Times New Roman" w:hAnsi="Times New Roman"/>
          <w:sz w:val="28"/>
        </w:rPr>
        <w:t xml:space="preserve">Друговская А.Ю. Роль Православной Церкви в оказании помощи населению </w:t>
      </w:r>
      <w:r>
        <w:rPr>
          <w:rFonts w:ascii="Times New Roman" w:hAnsi="Times New Roman"/>
          <w:sz w:val="28"/>
        </w:rPr>
        <w:t xml:space="preserve">Воронежской губернии в период голода 1891-1892 гг. // Запад и Восток: Традиции, </w:t>
      </w:r>
      <w:r>
        <w:rPr>
          <w:rFonts w:ascii="Times New Roman" w:hAnsi="Times New Roman"/>
          <w:sz w:val="28"/>
        </w:rPr>
        <w:t>взаимодействие, новации. 2003. C. 213-216.</w:t>
      </w:r>
    </w:p>
    <w:p w14:paraId="7A000000">
      <w:pPr>
        <w:numPr>
          <w:numId w:val="1"/>
        </w:numPr>
        <w:rPr>
          <w:rFonts w:ascii="Times New Roman" w:hAnsi="Times New Roman"/>
          <w:sz w:val="28"/>
        </w:rPr>
      </w:pPr>
      <w:r>
        <w:rPr>
          <w:rFonts w:ascii="Times New Roman" w:hAnsi="Times New Roman"/>
          <w:sz w:val="28"/>
        </w:rPr>
        <w:t xml:space="preserve">Синельников С. П. Русская православная церковь и голод 1891 – 1892 гг. // Россия </w:t>
      </w:r>
      <w:r>
        <w:rPr>
          <w:rFonts w:ascii="Times New Roman" w:hAnsi="Times New Roman"/>
          <w:sz w:val="28"/>
        </w:rPr>
        <w:t xml:space="preserve">в новое время: Историческая традиция и проблемы самоидентификации: материалы </w:t>
      </w:r>
      <w:r>
        <w:rPr>
          <w:rFonts w:ascii="Times New Roman" w:hAnsi="Times New Roman"/>
          <w:sz w:val="28"/>
        </w:rPr>
        <w:t>межвуз. науч. конф. 25–27 апр. 1996 г. – М., 1996. С. 143–145.</w:t>
      </w:r>
    </w:p>
    <w:p w14:paraId="7B000000">
      <w:pPr>
        <w:numPr>
          <w:numId w:val="1"/>
        </w:numPr>
        <w:rPr>
          <w:rFonts w:ascii="Times New Roman" w:hAnsi="Times New Roman"/>
          <w:sz w:val="28"/>
        </w:rPr>
      </w:pPr>
      <w:r>
        <w:rPr>
          <w:rFonts w:ascii="Times New Roman" w:hAnsi="Times New Roman"/>
          <w:sz w:val="28"/>
        </w:rPr>
        <w:t xml:space="preserve">Власова А.В. Социальная деятельность Русской Православной Церкви на Урале во </w:t>
      </w:r>
      <w:r>
        <w:rPr>
          <w:rFonts w:ascii="Times New Roman" w:hAnsi="Times New Roman"/>
          <w:sz w:val="28"/>
        </w:rPr>
        <w:t>второй половине XIX – начале XX в.: автореф. дис… к.и.н. – Челябинск, 2011.</w:t>
      </w:r>
    </w:p>
    <w:p w14:paraId="7C000000">
      <w:pPr>
        <w:numPr>
          <w:numId w:val="1"/>
        </w:numPr>
        <w:rPr>
          <w:rFonts w:ascii="Times New Roman" w:hAnsi="Times New Roman"/>
          <w:sz w:val="28"/>
        </w:rPr>
      </w:pPr>
      <w:r>
        <w:rPr>
          <w:rFonts w:ascii="Times New Roman" w:hAnsi="Times New Roman"/>
          <w:sz w:val="28"/>
        </w:rPr>
        <w:t>Нечипорук Д.М. Освещение голода в России 1891-1892 гг. на страницах газеты «</w:t>
      </w:r>
      <w:r>
        <w:rPr>
          <w:rFonts w:ascii="Times New Roman" w:hAnsi="Times New Roman"/>
          <w:sz w:val="28"/>
        </w:rPr>
        <w:t>Free Russia» // Клио. 2005. №3. C. 70 –73.</w:t>
      </w:r>
    </w:p>
    <w:p w14:paraId="7D000000">
      <w:pPr>
        <w:numPr>
          <w:numId w:val="1"/>
        </w:numPr>
        <w:rPr>
          <w:rFonts w:ascii="Times New Roman" w:hAnsi="Times New Roman"/>
          <w:sz w:val="28"/>
        </w:rPr>
      </w:pPr>
      <w:r>
        <w:rPr>
          <w:rFonts w:ascii="Times New Roman" w:hAnsi="Times New Roman"/>
          <w:sz w:val="28"/>
        </w:rPr>
        <w:t>Толстой Л. Н. и США: переписка / Рос. акад. наук, Ин-т мировой лит. им. А. М. Горького; [сост., подгот. текстов, коммент.: Н. Великанова, Р. Виттакер]. М., 2004.</w:t>
      </w:r>
    </w:p>
    <w:p w14:paraId="7E000000">
      <w:pPr>
        <w:numPr>
          <w:numId w:val="1"/>
        </w:numPr>
        <w:rPr>
          <w:rFonts w:ascii="Times New Roman" w:hAnsi="Times New Roman"/>
          <w:sz w:val="28"/>
        </w:rPr>
      </w:pPr>
      <w:r>
        <w:rPr>
          <w:rFonts w:ascii="Times New Roman" w:hAnsi="Times New Roman"/>
          <w:sz w:val="28"/>
        </w:rPr>
        <w:t>Федотова А. А. Л. Н. Толстой и Н. С. Лесков в полемике вокруг «страшного вопроса» 1891 года // Вестник Костромского государственного университете. 2016. Т. 22. № 5. С. 135-139.</w:t>
      </w:r>
    </w:p>
    <w:p w14:paraId="7F000000">
      <w:pPr>
        <w:numPr>
          <w:numId w:val="1"/>
        </w:numPr>
        <w:rPr>
          <w:rFonts w:ascii="Times New Roman" w:hAnsi="Times New Roman"/>
          <w:sz w:val="28"/>
        </w:rPr>
      </w:pPr>
      <w:r>
        <w:rPr>
          <w:rFonts w:ascii="Times New Roman" w:hAnsi="Times New Roman"/>
          <w:sz w:val="28"/>
        </w:rPr>
        <w:t>Фоломеев С. Н. Власть и общество в условиях кризиса: социальные последствия голода 1891-1892 годов в Самарской губернии // Историческая психология и социология истории. 2015. № 2. С. 64-79.</w:t>
      </w:r>
    </w:p>
    <w:p w14:paraId="80000000">
      <w:pPr>
        <w:numPr>
          <w:numId w:val="1"/>
        </w:numPr>
        <w:rPr>
          <w:rFonts w:ascii="Times New Roman" w:hAnsi="Times New Roman"/>
          <w:sz w:val="28"/>
        </w:rPr>
      </w:pPr>
      <w:r>
        <w:rPr>
          <w:rFonts w:ascii="Times New Roman" w:hAnsi="Times New Roman"/>
          <w:sz w:val="28"/>
        </w:rPr>
        <w:t xml:space="preserve">Носков В. В., Китанина Т. М. Америка и русский голод 1891–92 гг. // Russian Food </w:t>
      </w:r>
      <w:r>
        <w:rPr>
          <w:rFonts w:ascii="Times New Roman" w:hAnsi="Times New Roman"/>
          <w:sz w:val="28"/>
        </w:rPr>
        <w:t>Market. New York; Moscow; St. Peterburg. 1995. № 1. С. 54–57.</w:t>
      </w:r>
    </w:p>
    <w:p w14:paraId="81000000">
      <w:pPr>
        <w:numPr>
          <w:numId w:val="1"/>
        </w:numPr>
        <w:rPr>
          <w:rFonts w:ascii="Times New Roman" w:hAnsi="Times New Roman"/>
          <w:sz w:val="28"/>
        </w:rPr>
      </w:pPr>
      <w:r>
        <w:rPr>
          <w:rFonts w:ascii="Times New Roman" w:hAnsi="Times New Roman"/>
          <w:sz w:val="28"/>
        </w:rPr>
        <w:t>Сорока М. Квакеры и русский голод // Родина. 2011. № 12. С. 95–98.</w:t>
      </w:r>
    </w:p>
    <w:p w14:paraId="82000000">
      <w:pPr>
        <w:numPr>
          <w:numId w:val="1"/>
        </w:numPr>
        <w:rPr>
          <w:rFonts w:ascii="Times New Roman" w:hAnsi="Times New Roman"/>
          <w:sz w:val="28"/>
        </w:rPr>
      </w:pPr>
      <w:r>
        <w:rPr>
          <w:rFonts w:ascii="Times New Roman" w:hAnsi="Times New Roman"/>
          <w:sz w:val="28"/>
        </w:rPr>
        <w:t xml:space="preserve">Корнилов Г.Е. Аграрное развитие и создание системы продовольственного </w:t>
      </w:r>
      <w:r>
        <w:rPr>
          <w:rFonts w:ascii="Times New Roman" w:hAnsi="Times New Roman"/>
          <w:sz w:val="28"/>
        </w:rPr>
        <w:t xml:space="preserve">обеспечения в первой половине XX века // Россия в XX веке: Реформы и </w:t>
      </w:r>
      <w:r>
        <w:rPr>
          <w:rFonts w:ascii="Times New Roman" w:hAnsi="Times New Roman"/>
          <w:sz w:val="28"/>
        </w:rPr>
        <w:t>революции. Москва, 2002. С. 507 –515.</w:t>
      </w:r>
    </w:p>
    <w:p w14:paraId="83000000">
      <w:pPr>
        <w:numPr>
          <w:numId w:val="1"/>
        </w:numPr>
        <w:rPr>
          <w:rFonts w:ascii="Times New Roman" w:hAnsi="Times New Roman"/>
          <w:sz w:val="28"/>
        </w:rPr>
      </w:pPr>
      <w:r>
        <w:rPr>
          <w:rFonts w:ascii="Times New Roman" w:hAnsi="Times New Roman"/>
          <w:sz w:val="28"/>
        </w:rPr>
        <w:t>А.С. Рогожина. Организация общественных работ в Российской империи во время</w:t>
      </w:r>
      <w:r>
        <w:rPr>
          <w:rFonts w:ascii="Times New Roman" w:hAnsi="Times New Roman"/>
          <w:sz w:val="28"/>
        </w:rPr>
        <w:t>голода 1891-1892 гг. // Научные ведомости Белгородского государственного</w:t>
      </w:r>
      <w:r>
        <w:rPr>
          <w:rFonts w:ascii="Times New Roman" w:hAnsi="Times New Roman"/>
          <w:sz w:val="28"/>
        </w:rPr>
        <w:t>университета. Серия: История. Политология. 2015 № 19 (216). Выпуск 36. С. 103 –</w:t>
      </w:r>
      <w:r>
        <w:rPr>
          <w:rFonts w:ascii="Times New Roman" w:hAnsi="Times New Roman"/>
          <w:sz w:val="28"/>
        </w:rPr>
        <w:t>109.</w:t>
      </w:r>
    </w:p>
    <w:p w14:paraId="84000000">
      <w:pPr>
        <w:numPr>
          <w:numId w:val="1"/>
        </w:numPr>
        <w:rPr>
          <w:rFonts w:ascii="Times New Roman" w:hAnsi="Times New Roman"/>
          <w:sz w:val="28"/>
        </w:rPr>
      </w:pPr>
      <w:r>
        <w:rPr>
          <w:rFonts w:ascii="Times New Roman" w:hAnsi="Times New Roman"/>
          <w:sz w:val="28"/>
        </w:rPr>
        <w:t>Крюков Н.П. Российские традиции социальной помощи. – Саратов, 2001. – 241с.</w:t>
      </w:r>
    </w:p>
    <w:p w14:paraId="85000000">
      <w:pPr>
        <w:numPr>
          <w:numId w:val="1"/>
        </w:numPr>
        <w:rPr>
          <w:rFonts w:ascii="Times New Roman" w:hAnsi="Times New Roman"/>
          <w:sz w:val="28"/>
        </w:rPr>
      </w:pPr>
      <w:r>
        <w:rPr>
          <w:rFonts w:ascii="Times New Roman" w:hAnsi="Times New Roman"/>
          <w:sz w:val="28"/>
        </w:rPr>
        <w:t>Тарасова И.А. К вопросу о взаимодействии Министерства внутренних дел</w:t>
      </w:r>
    </w:p>
    <w:p w14:paraId="86000000">
      <w:pPr>
        <w:numPr>
          <w:numId w:val="1"/>
        </w:numPr>
        <w:rPr>
          <w:rFonts w:ascii="Times New Roman" w:hAnsi="Times New Roman"/>
          <w:sz w:val="28"/>
        </w:rPr>
      </w:pPr>
      <w:r>
        <w:rPr>
          <w:rFonts w:ascii="Times New Roman" w:hAnsi="Times New Roman"/>
          <w:sz w:val="28"/>
        </w:rPr>
        <w:t xml:space="preserve">Российской империи и органов местного самоуправления в деятельности по </w:t>
      </w:r>
      <w:r>
        <w:rPr>
          <w:rFonts w:ascii="Times New Roman" w:hAnsi="Times New Roman"/>
          <w:sz w:val="28"/>
        </w:rPr>
        <w:t xml:space="preserve">нейтрализации последствий неурожая 1891 года // Юридические записки. 2013. </w:t>
      </w:r>
      <w:r>
        <w:rPr>
          <w:rFonts w:ascii="Times New Roman" w:hAnsi="Times New Roman"/>
          <w:sz w:val="28"/>
        </w:rPr>
        <w:t>№1. С.51 –57.</w:t>
      </w:r>
    </w:p>
    <w:sectPr>
      <w:pgSz w:h="16848" w:orient="portrait" w:w="11908"/>
      <w:pgMar w:bottom="1134" w:footer="1134" w:header="1134" w:left="1701" w:right="850"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ind w:hanging="360" w:left="360"/>
      </w:pPr>
    </w:lvl>
    <w:lvl w:ilvl="1">
      <w:start w:val="1"/>
      <w:numFmt w:val="decimal"/>
      <w:lvlText w:val="%1.%2."/>
      <w:pPr>
        <w:ind w:hanging="430" w:left="790"/>
      </w:pPr>
    </w:lvl>
    <w:lvl w:ilvl="2">
      <w:start w:val="1"/>
      <w:numFmt w:val="decimal"/>
      <w:lvlText w:val="%1.%2.%3."/>
      <w:pPr>
        <w:ind w:hanging="505" w:left="1225"/>
      </w:pPr>
    </w:lvl>
    <w:lvl w:ilvl="3">
      <w:start w:val="1"/>
      <w:numFmt w:val="decimal"/>
      <w:lvlText w:val="%1.%2.%3.%4."/>
      <w:pPr>
        <w:ind w:hanging="650" w:left="1730"/>
      </w:pPr>
    </w:lvl>
    <w:lvl w:ilvl="4">
      <w:start w:val="1"/>
      <w:numFmt w:val="decimal"/>
      <w:lvlText w:val="%1.%2.%3.%4.%5."/>
      <w:pPr>
        <w:ind w:hanging="790" w:left="2230"/>
      </w:pPr>
    </w:lvl>
    <w:lvl w:ilvl="5">
      <w:start w:val="1"/>
      <w:numFmt w:val="decimal"/>
      <w:lvlText w:val="%1.%2.%3.%4.%5.%6."/>
      <w:pPr>
        <w:ind w:hanging="935" w:left="2735"/>
      </w:pPr>
    </w:lvl>
    <w:lvl w:ilvl="6">
      <w:start w:val="1"/>
      <w:numFmt w:val="decimal"/>
      <w:lvlText w:val="%1.%2.%3.%4.%5.%6.%7."/>
      <w:pPr>
        <w:ind w:hanging="1080" w:left="3240"/>
      </w:pPr>
    </w:lvl>
    <w:lvl w:ilvl="7">
      <w:start w:val="1"/>
      <w:numFmt w:val="decimal"/>
      <w:lvlText w:val="%1.%2.%3.%4.%5.%6.%7.%8."/>
      <w:pPr>
        <w:ind w:hanging="1225" w:left="3745"/>
      </w:pPr>
    </w:lvl>
    <w:lvl w:ilvl="8">
      <w:start w:val="1"/>
      <w:numFmt w:val="decimal"/>
      <w:lvlText w:val="%1.%2.%3.%4.%5.%6.%7.%8.%9."/>
      <w:pPr>
        <w:ind w:hanging="1440" w:left="432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4" w:type="paragraph">
    <w:name w:val="toc 2"/>
    <w:next w:val="Style_1"/>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1"/>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1"/>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1"/>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1"/>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toc 3"/>
    <w:next w:val="Style_1"/>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11" w:type="paragraph">
    <w:name w:val="heading 5"/>
    <w:next w:val="Style_1"/>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1"/>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2" w:type="paragraph">
    <w:name w:val="Footnote"/>
    <w:link w:val="Style_2_ch"/>
    <w:pPr>
      <w:ind w:firstLine="851" w:left="0"/>
      <w:jc w:val="both"/>
    </w:pPr>
    <w:rPr>
      <w:rFonts w:ascii="XO Thames" w:hAnsi="XO Thames"/>
      <w:sz w:val="22"/>
    </w:rPr>
  </w:style>
  <w:style w:styleId="Style_2_ch" w:type="character">
    <w:name w:val="Footnote"/>
    <w:link w:val="Style_2"/>
    <w:rPr>
      <w:rFonts w:ascii="XO Thames" w:hAnsi="XO Thames"/>
      <w:sz w:val="22"/>
    </w:rPr>
  </w:style>
  <w:style w:styleId="Style_13" w:type="paragraph">
    <w:name w:val="toc 1"/>
    <w:next w:val="Style_1"/>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7" Target="numbering.xml" Type="http://schemas.openxmlformats.org/officeDocument/2006/relationships/numbering"/>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2026-10-24T17:45:19Z</dcterms:modified>
</cp:coreProperties>
</file>