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0E69" w:rsidRDefault="00250E69" w:rsidP="00250E69">
      <w:pPr>
        <w:spacing w:line="240" w:lineRule="auto"/>
        <w:jc w:val="center"/>
        <w:rPr>
          <w:sz w:val="28"/>
          <w:szCs w:val="28"/>
        </w:rPr>
      </w:pPr>
      <w:r>
        <w:rPr>
          <w:sz w:val="28"/>
          <w:szCs w:val="28"/>
        </w:rPr>
        <w:t>Муниципальное бюджетное общеобразовательное учреждение</w:t>
      </w:r>
    </w:p>
    <w:p w:rsidR="00250E69" w:rsidRDefault="00250E69" w:rsidP="00250E69">
      <w:pPr>
        <w:spacing w:line="240" w:lineRule="auto"/>
        <w:jc w:val="center"/>
        <w:rPr>
          <w:sz w:val="28"/>
          <w:szCs w:val="28"/>
        </w:rPr>
      </w:pPr>
      <w:r>
        <w:rPr>
          <w:sz w:val="28"/>
          <w:szCs w:val="28"/>
        </w:rPr>
        <w:t xml:space="preserve"> «Средняя общеобразовательная школа №10» </w:t>
      </w:r>
    </w:p>
    <w:p w:rsidR="00250E69" w:rsidRDefault="00250E69" w:rsidP="00250E69">
      <w:pPr>
        <w:spacing w:line="240" w:lineRule="auto"/>
        <w:jc w:val="center"/>
        <w:rPr>
          <w:sz w:val="28"/>
          <w:szCs w:val="28"/>
        </w:rPr>
      </w:pPr>
      <w:r>
        <w:rPr>
          <w:sz w:val="28"/>
          <w:szCs w:val="28"/>
        </w:rPr>
        <w:t>г. Славгород</w:t>
      </w:r>
    </w:p>
    <w:p w:rsidR="00250E69" w:rsidRDefault="00250E69" w:rsidP="00250E69">
      <w:pPr>
        <w:spacing w:line="240" w:lineRule="auto"/>
        <w:jc w:val="center"/>
        <w:rPr>
          <w:sz w:val="28"/>
          <w:szCs w:val="28"/>
        </w:rPr>
      </w:pPr>
      <w:r>
        <w:rPr>
          <w:sz w:val="28"/>
          <w:szCs w:val="28"/>
        </w:rPr>
        <w:t xml:space="preserve"> Алтайский край</w:t>
      </w:r>
    </w:p>
    <w:p w:rsidR="00E42BFA" w:rsidRDefault="00E42BFA"/>
    <w:p w:rsidR="00E42BFA" w:rsidRDefault="00E42BFA"/>
    <w:p w:rsidR="00E42BFA" w:rsidRDefault="00E42BFA"/>
    <w:p w:rsidR="00E42BFA" w:rsidRDefault="00E42BFA"/>
    <w:p w:rsidR="00E42BFA" w:rsidRDefault="00E42BFA"/>
    <w:p w:rsidR="00E42BFA" w:rsidRDefault="00E42BFA" w:rsidP="00250E69">
      <w:pPr>
        <w:spacing w:before="120" w:after="120"/>
      </w:pPr>
    </w:p>
    <w:p w:rsidR="00E42BFA" w:rsidRDefault="00AA548D">
      <w:pPr>
        <w:spacing w:after="120"/>
        <w:jc w:val="center"/>
      </w:pPr>
      <w:r>
        <w:rPr>
          <w:b/>
          <w:bCs/>
          <w:sz w:val="36"/>
          <w:szCs w:val="36"/>
        </w:rPr>
        <w:t>«Золотое сечение в 7 классе»</w:t>
      </w:r>
    </w:p>
    <w:p w:rsidR="00E42BFA" w:rsidRDefault="00E42BFA"/>
    <w:p w:rsidR="00E42BFA" w:rsidRDefault="00E42BFA"/>
    <w:p w:rsidR="00E42BFA" w:rsidRDefault="00E42BFA"/>
    <w:tbl>
      <w:tblPr>
        <w:tblW w:w="0" w:type="auto"/>
        <w:tblCellMar>
          <w:left w:w="10" w:type="dxa"/>
          <w:right w:w="10" w:type="dxa"/>
        </w:tblCellMar>
        <w:tblLook w:val="04A0" w:firstRow="1" w:lastRow="0" w:firstColumn="1" w:lastColumn="0" w:noHBand="0" w:noVBand="1"/>
      </w:tblPr>
      <w:tblGrid>
        <w:gridCol w:w="6379"/>
        <w:gridCol w:w="3668"/>
      </w:tblGrid>
      <w:tr w:rsidR="00E42BFA">
        <w:tc>
          <w:tcPr>
            <w:tcW w:w="6379" w:type="dxa"/>
            <w:noWrap/>
          </w:tcPr>
          <w:p w:rsidR="00E42BFA" w:rsidRDefault="00E42BFA"/>
        </w:tc>
        <w:tc>
          <w:tcPr>
            <w:tcW w:w="3668" w:type="dxa"/>
            <w:noWrap/>
          </w:tcPr>
          <w:p w:rsidR="00E42BFA" w:rsidRDefault="00AA548D">
            <w:pPr>
              <w:spacing w:before="40" w:after="40"/>
              <w:rPr>
                <w:sz w:val="28"/>
                <w:szCs w:val="28"/>
              </w:rPr>
            </w:pPr>
            <w:r>
              <w:rPr>
                <w:sz w:val="28"/>
                <w:szCs w:val="28"/>
              </w:rPr>
              <w:t>Выполнил</w:t>
            </w:r>
            <w:r w:rsidR="00250E69">
              <w:rPr>
                <w:sz w:val="28"/>
                <w:szCs w:val="28"/>
              </w:rPr>
              <w:t>и</w:t>
            </w:r>
            <w:r>
              <w:rPr>
                <w:sz w:val="28"/>
                <w:szCs w:val="28"/>
              </w:rPr>
              <w:t>:</w:t>
            </w:r>
          </w:p>
          <w:p w:rsidR="00250E69" w:rsidRDefault="00250E69">
            <w:pPr>
              <w:spacing w:before="40" w:after="40"/>
              <w:rPr>
                <w:sz w:val="28"/>
                <w:szCs w:val="28"/>
              </w:rPr>
            </w:pPr>
            <w:proofErr w:type="spellStart"/>
            <w:r>
              <w:rPr>
                <w:sz w:val="28"/>
                <w:szCs w:val="28"/>
              </w:rPr>
              <w:t>Петлеванная</w:t>
            </w:r>
            <w:proofErr w:type="spellEnd"/>
            <w:r>
              <w:rPr>
                <w:sz w:val="28"/>
                <w:szCs w:val="28"/>
              </w:rPr>
              <w:t xml:space="preserve"> Дарья </w:t>
            </w:r>
          </w:p>
          <w:p w:rsidR="00250E69" w:rsidRDefault="00250E69">
            <w:pPr>
              <w:spacing w:before="40" w:after="40"/>
              <w:rPr>
                <w:sz w:val="28"/>
                <w:szCs w:val="28"/>
              </w:rPr>
            </w:pPr>
            <w:proofErr w:type="spellStart"/>
            <w:r>
              <w:rPr>
                <w:sz w:val="28"/>
                <w:szCs w:val="28"/>
              </w:rPr>
              <w:t>Конопленко</w:t>
            </w:r>
            <w:proofErr w:type="spellEnd"/>
            <w:r>
              <w:rPr>
                <w:sz w:val="28"/>
                <w:szCs w:val="28"/>
              </w:rPr>
              <w:t xml:space="preserve"> </w:t>
            </w:r>
            <w:proofErr w:type="gramStart"/>
            <w:r>
              <w:rPr>
                <w:sz w:val="28"/>
                <w:szCs w:val="28"/>
              </w:rPr>
              <w:t>Татьяна ,</w:t>
            </w:r>
            <w:proofErr w:type="gramEnd"/>
          </w:p>
          <w:p w:rsidR="00250E69" w:rsidRDefault="00250E69">
            <w:pPr>
              <w:spacing w:before="40" w:after="40"/>
              <w:rPr>
                <w:sz w:val="28"/>
                <w:szCs w:val="28"/>
              </w:rPr>
            </w:pPr>
            <w:proofErr w:type="gramStart"/>
            <w:r>
              <w:rPr>
                <w:sz w:val="28"/>
                <w:szCs w:val="28"/>
              </w:rPr>
              <w:t>учащиеся</w:t>
            </w:r>
            <w:proofErr w:type="gramEnd"/>
            <w:r>
              <w:rPr>
                <w:sz w:val="28"/>
                <w:szCs w:val="28"/>
              </w:rPr>
              <w:t xml:space="preserve"> 7 Г класса</w:t>
            </w:r>
          </w:p>
          <w:p w:rsidR="00250E69" w:rsidRDefault="00250E69">
            <w:pPr>
              <w:spacing w:before="40" w:after="40"/>
            </w:pPr>
            <w:r>
              <w:rPr>
                <w:sz w:val="28"/>
                <w:szCs w:val="28"/>
              </w:rPr>
              <w:t>МБОУ «СОШ №10»</w:t>
            </w:r>
          </w:p>
          <w:p w:rsidR="00E42BFA" w:rsidRDefault="00E42BFA">
            <w:pPr>
              <w:spacing w:before="40" w:after="40"/>
            </w:pPr>
          </w:p>
          <w:p w:rsidR="00E42BFA" w:rsidRDefault="00E42BFA"/>
          <w:p w:rsidR="00E42BFA" w:rsidRDefault="00AA548D">
            <w:pPr>
              <w:spacing w:before="40" w:after="40"/>
            </w:pPr>
            <w:r>
              <w:rPr>
                <w:sz w:val="28"/>
                <w:szCs w:val="28"/>
              </w:rPr>
              <w:t>Руководитель:</w:t>
            </w:r>
          </w:p>
          <w:p w:rsidR="00E42BFA" w:rsidRDefault="00250E69">
            <w:pPr>
              <w:spacing w:before="40" w:after="40"/>
            </w:pPr>
            <w:r>
              <w:rPr>
                <w:sz w:val="28"/>
                <w:szCs w:val="28"/>
              </w:rPr>
              <w:t>Филиппова Галина Владимировна</w:t>
            </w:r>
          </w:p>
          <w:p w:rsidR="00E42BFA" w:rsidRDefault="00E42BFA"/>
        </w:tc>
      </w:tr>
    </w:tbl>
    <w:p w:rsidR="00E42BFA" w:rsidRDefault="00E42BFA"/>
    <w:p w:rsidR="00E42BFA" w:rsidRDefault="00E42BFA"/>
    <w:p w:rsidR="00E42BFA" w:rsidRDefault="00E42BFA"/>
    <w:p w:rsidR="00E42BFA" w:rsidRDefault="00E42BFA"/>
    <w:p w:rsidR="00E42BFA" w:rsidRDefault="00E42BFA"/>
    <w:p w:rsidR="00E42BFA" w:rsidRDefault="00E42BFA"/>
    <w:p w:rsidR="00E42BFA" w:rsidRDefault="00E42BFA"/>
    <w:p w:rsidR="00E42BFA" w:rsidRDefault="00E42BFA"/>
    <w:p w:rsidR="00E42BFA" w:rsidRDefault="00E42BFA"/>
    <w:p w:rsidR="00E42BFA" w:rsidRDefault="00E42BFA"/>
    <w:p w:rsidR="00E42BFA" w:rsidRDefault="00AA548D">
      <w:pPr>
        <w:spacing w:before="40" w:after="40"/>
        <w:jc w:val="center"/>
      </w:pPr>
      <w:r>
        <w:rPr>
          <w:sz w:val="28"/>
          <w:szCs w:val="28"/>
          <w:lang w:val="en-US"/>
        </w:rPr>
        <w:t xml:space="preserve">2025 </w:t>
      </w:r>
      <w:r>
        <w:rPr>
          <w:sz w:val="28"/>
          <w:szCs w:val="28"/>
        </w:rPr>
        <w:t>г.</w:t>
      </w:r>
    </w:p>
    <w:p w:rsidR="00E42BFA" w:rsidRDefault="00E42BFA"/>
    <w:p w:rsidR="00E42BFA" w:rsidRDefault="00E42BFA">
      <w:pPr>
        <w:sectPr w:rsidR="00E42BFA">
          <w:pgSz w:w="11900" w:h="16840"/>
          <w:pgMar w:top="567" w:right="850" w:bottom="568" w:left="993" w:header="708" w:footer="708" w:gutter="0"/>
          <w:cols w:space="720"/>
        </w:sectPr>
      </w:pPr>
    </w:p>
    <w:p w:rsidR="00E42BFA" w:rsidRDefault="00AA548D">
      <w:pPr>
        <w:pStyle w:val="1"/>
      </w:pPr>
      <w:bookmarkStart w:id="0" w:name="_Toc0"/>
      <w:r>
        <w:lastRenderedPageBreak/>
        <w:t>Содержание</w:t>
      </w:r>
      <w:bookmarkEnd w:id="0"/>
    </w:p>
    <w:p w:rsidR="00E42BFA" w:rsidRDefault="00AA548D">
      <w:pPr>
        <w:tabs>
          <w:tab w:val="right" w:leader="dot" w:pos="9062"/>
        </w:tabs>
        <w:rPr>
          <w:rStyle w:val="fontStyleText"/>
          <w:noProof/>
        </w:rPr>
      </w:pPr>
      <w:r>
        <w:fldChar w:fldCharType="begin"/>
      </w:r>
      <w:r>
        <w:instrText>TOC \o 1-9 \h \z \u</w:instrText>
      </w:r>
      <w:r>
        <w:fldChar w:fldCharType="separate"/>
      </w:r>
      <w:hyperlink w:anchor="_Toc0" w:history="1">
        <w:r>
          <w:rPr>
            <w:noProof/>
          </w:rPr>
          <w:t>Содержание</w:t>
        </w:r>
        <w:r>
          <w:rPr>
            <w:noProof/>
          </w:rPr>
          <w:tab/>
        </w:r>
        <w:r>
          <w:rPr>
            <w:noProof/>
          </w:rPr>
          <w:fldChar w:fldCharType="begin"/>
        </w:r>
        <w:r>
          <w:rPr>
            <w:noProof/>
          </w:rPr>
          <w:instrText>PAGEREF _Toc0 \h</w:instrText>
        </w:r>
        <w:r>
          <w:rPr>
            <w:noProof/>
          </w:rPr>
        </w:r>
        <w:r>
          <w:rPr>
            <w:noProof/>
          </w:rPr>
          <w:fldChar w:fldCharType="separate"/>
        </w:r>
        <w:r w:rsidR="00DE48A7">
          <w:rPr>
            <w:noProof/>
          </w:rPr>
          <w:t>1</w:t>
        </w:r>
        <w:r>
          <w:rPr>
            <w:noProof/>
          </w:rPr>
          <w:fldChar w:fldCharType="end"/>
        </w:r>
      </w:hyperlink>
    </w:p>
    <w:p w:rsidR="00E42BFA" w:rsidRDefault="00DE48A7">
      <w:pPr>
        <w:tabs>
          <w:tab w:val="right" w:leader="dot" w:pos="9062"/>
        </w:tabs>
        <w:rPr>
          <w:rStyle w:val="fontStyleText"/>
          <w:noProof/>
        </w:rPr>
      </w:pPr>
      <w:hyperlink w:anchor="_Toc1" w:history="1">
        <w:r w:rsidR="00AA548D">
          <w:rPr>
            <w:noProof/>
          </w:rPr>
          <w:t>Введение</w:t>
        </w:r>
        <w:r w:rsidR="00AA548D">
          <w:rPr>
            <w:noProof/>
          </w:rPr>
          <w:tab/>
        </w:r>
        <w:r w:rsidR="00AA548D">
          <w:rPr>
            <w:noProof/>
          </w:rPr>
          <w:fldChar w:fldCharType="begin"/>
        </w:r>
        <w:r w:rsidR="00AA548D">
          <w:rPr>
            <w:noProof/>
          </w:rPr>
          <w:instrText>PAGEREF _Toc1 \h</w:instrText>
        </w:r>
        <w:r w:rsidR="00AA548D">
          <w:rPr>
            <w:noProof/>
          </w:rPr>
        </w:r>
        <w:r w:rsidR="00AA548D">
          <w:rPr>
            <w:noProof/>
          </w:rPr>
          <w:fldChar w:fldCharType="separate"/>
        </w:r>
        <w:r>
          <w:rPr>
            <w:noProof/>
          </w:rPr>
          <w:t>2</w:t>
        </w:r>
        <w:r w:rsidR="00AA548D">
          <w:rPr>
            <w:noProof/>
          </w:rPr>
          <w:fldChar w:fldCharType="end"/>
        </w:r>
      </w:hyperlink>
    </w:p>
    <w:p w:rsidR="00E42BFA" w:rsidRDefault="00DE48A7">
      <w:pPr>
        <w:tabs>
          <w:tab w:val="right" w:leader="dot" w:pos="9062"/>
        </w:tabs>
        <w:rPr>
          <w:rStyle w:val="fontStyleText"/>
          <w:noProof/>
        </w:rPr>
      </w:pPr>
      <w:hyperlink w:anchor="_Toc2" w:history="1">
        <w:r w:rsidR="00AA548D">
          <w:rPr>
            <w:noProof/>
          </w:rPr>
          <w:t>Определение и математическая основа золотого сечения</w:t>
        </w:r>
        <w:r w:rsidR="00AA548D">
          <w:rPr>
            <w:noProof/>
          </w:rPr>
          <w:tab/>
        </w:r>
        <w:r w:rsidR="00AA548D">
          <w:rPr>
            <w:noProof/>
          </w:rPr>
          <w:fldChar w:fldCharType="begin"/>
        </w:r>
        <w:r w:rsidR="00AA548D">
          <w:rPr>
            <w:noProof/>
          </w:rPr>
          <w:instrText>PAGEREF _Toc2 \h</w:instrText>
        </w:r>
        <w:r w:rsidR="00AA548D">
          <w:rPr>
            <w:noProof/>
          </w:rPr>
        </w:r>
        <w:r w:rsidR="00AA548D">
          <w:rPr>
            <w:noProof/>
          </w:rPr>
          <w:fldChar w:fldCharType="separate"/>
        </w:r>
        <w:r>
          <w:rPr>
            <w:noProof/>
          </w:rPr>
          <w:t>5</w:t>
        </w:r>
        <w:r w:rsidR="00AA548D">
          <w:rPr>
            <w:noProof/>
          </w:rPr>
          <w:fldChar w:fldCharType="end"/>
        </w:r>
      </w:hyperlink>
    </w:p>
    <w:p w:rsidR="00E42BFA" w:rsidRDefault="00DE48A7">
      <w:pPr>
        <w:tabs>
          <w:tab w:val="right" w:leader="dot" w:pos="9062"/>
        </w:tabs>
        <w:rPr>
          <w:rStyle w:val="fontStyleText"/>
          <w:noProof/>
        </w:rPr>
      </w:pPr>
      <w:hyperlink w:anchor="_Toc3" w:history="1">
        <w:r w:rsidR="00AA548D">
          <w:rPr>
            <w:noProof/>
          </w:rPr>
          <w:t>Золотые фигуры: треугольники и прямоугольники</w:t>
        </w:r>
        <w:r w:rsidR="00AA548D">
          <w:rPr>
            <w:noProof/>
          </w:rPr>
          <w:tab/>
        </w:r>
        <w:r w:rsidR="00AA548D">
          <w:rPr>
            <w:noProof/>
          </w:rPr>
          <w:fldChar w:fldCharType="begin"/>
        </w:r>
        <w:r w:rsidR="00AA548D">
          <w:rPr>
            <w:noProof/>
          </w:rPr>
          <w:instrText>PAGEREF _Toc3 \h</w:instrText>
        </w:r>
        <w:r w:rsidR="00AA548D">
          <w:rPr>
            <w:noProof/>
          </w:rPr>
        </w:r>
        <w:r w:rsidR="00AA548D">
          <w:rPr>
            <w:noProof/>
          </w:rPr>
          <w:fldChar w:fldCharType="separate"/>
        </w:r>
        <w:r>
          <w:rPr>
            <w:noProof/>
          </w:rPr>
          <w:t>7</w:t>
        </w:r>
        <w:r w:rsidR="00AA548D">
          <w:rPr>
            <w:noProof/>
          </w:rPr>
          <w:fldChar w:fldCharType="end"/>
        </w:r>
      </w:hyperlink>
    </w:p>
    <w:p w:rsidR="00E42BFA" w:rsidRDefault="00DE48A7">
      <w:pPr>
        <w:tabs>
          <w:tab w:val="right" w:leader="dot" w:pos="9062"/>
        </w:tabs>
        <w:rPr>
          <w:rStyle w:val="fontStyleText"/>
          <w:noProof/>
        </w:rPr>
      </w:pPr>
      <w:hyperlink w:anchor="_Toc4" w:history="1">
        <w:r w:rsidR="00AA548D">
          <w:rPr>
            <w:noProof/>
          </w:rPr>
          <w:t>Применение золотого сечения в природе</w:t>
        </w:r>
        <w:r w:rsidR="00AA548D">
          <w:rPr>
            <w:noProof/>
          </w:rPr>
          <w:tab/>
        </w:r>
        <w:r w:rsidR="00AA548D">
          <w:rPr>
            <w:noProof/>
          </w:rPr>
          <w:fldChar w:fldCharType="begin"/>
        </w:r>
        <w:r w:rsidR="00AA548D">
          <w:rPr>
            <w:noProof/>
          </w:rPr>
          <w:instrText>PAGEREF _Toc4 \h</w:instrText>
        </w:r>
        <w:r w:rsidR="00AA548D">
          <w:rPr>
            <w:noProof/>
          </w:rPr>
        </w:r>
        <w:r w:rsidR="00AA548D">
          <w:rPr>
            <w:noProof/>
          </w:rPr>
          <w:fldChar w:fldCharType="separate"/>
        </w:r>
        <w:r>
          <w:rPr>
            <w:noProof/>
          </w:rPr>
          <w:t>10</w:t>
        </w:r>
        <w:r w:rsidR="00AA548D">
          <w:rPr>
            <w:noProof/>
          </w:rPr>
          <w:fldChar w:fldCharType="end"/>
        </w:r>
      </w:hyperlink>
    </w:p>
    <w:p w:rsidR="00E42BFA" w:rsidRDefault="00DE48A7">
      <w:pPr>
        <w:tabs>
          <w:tab w:val="right" w:leader="dot" w:pos="9062"/>
        </w:tabs>
        <w:rPr>
          <w:rStyle w:val="fontStyleText"/>
          <w:noProof/>
        </w:rPr>
      </w:pPr>
      <w:hyperlink w:anchor="_Toc5" w:history="1">
        <w:r w:rsidR="00AA548D">
          <w:rPr>
            <w:noProof/>
          </w:rPr>
          <w:t>Золотое сечение в искусстве</w:t>
        </w:r>
        <w:r w:rsidR="00AA548D">
          <w:rPr>
            <w:noProof/>
          </w:rPr>
          <w:tab/>
        </w:r>
        <w:r w:rsidR="00AA548D">
          <w:rPr>
            <w:noProof/>
          </w:rPr>
          <w:fldChar w:fldCharType="begin"/>
        </w:r>
        <w:r w:rsidR="00AA548D">
          <w:rPr>
            <w:noProof/>
          </w:rPr>
          <w:instrText>PAGEREF _Toc5 \h</w:instrText>
        </w:r>
        <w:r w:rsidR="00AA548D">
          <w:rPr>
            <w:noProof/>
          </w:rPr>
        </w:r>
        <w:r w:rsidR="00AA548D">
          <w:rPr>
            <w:noProof/>
          </w:rPr>
          <w:fldChar w:fldCharType="separate"/>
        </w:r>
        <w:r>
          <w:rPr>
            <w:noProof/>
          </w:rPr>
          <w:t>13</w:t>
        </w:r>
        <w:r w:rsidR="00AA548D">
          <w:rPr>
            <w:noProof/>
          </w:rPr>
          <w:fldChar w:fldCharType="end"/>
        </w:r>
      </w:hyperlink>
    </w:p>
    <w:p w:rsidR="00E42BFA" w:rsidRDefault="00DE48A7">
      <w:pPr>
        <w:tabs>
          <w:tab w:val="right" w:leader="dot" w:pos="9062"/>
        </w:tabs>
        <w:rPr>
          <w:rStyle w:val="fontStyleText"/>
          <w:noProof/>
        </w:rPr>
      </w:pPr>
      <w:hyperlink w:anchor="_Toc6" w:history="1">
        <w:r w:rsidR="00AA548D">
          <w:rPr>
            <w:noProof/>
          </w:rPr>
          <w:t>Практические измерения роста и частей тела</w:t>
        </w:r>
        <w:r w:rsidR="00AA548D">
          <w:rPr>
            <w:noProof/>
          </w:rPr>
          <w:tab/>
        </w:r>
        <w:r w:rsidR="00AA548D">
          <w:rPr>
            <w:noProof/>
          </w:rPr>
          <w:fldChar w:fldCharType="begin"/>
        </w:r>
        <w:r w:rsidR="00AA548D">
          <w:rPr>
            <w:noProof/>
          </w:rPr>
          <w:instrText>PAGEREF _Toc6 \h</w:instrText>
        </w:r>
        <w:r w:rsidR="00AA548D">
          <w:rPr>
            <w:noProof/>
          </w:rPr>
        </w:r>
        <w:r w:rsidR="00AA548D">
          <w:rPr>
            <w:noProof/>
          </w:rPr>
          <w:fldChar w:fldCharType="separate"/>
        </w:r>
        <w:r>
          <w:rPr>
            <w:noProof/>
          </w:rPr>
          <w:t>16</w:t>
        </w:r>
        <w:r w:rsidR="00AA548D">
          <w:rPr>
            <w:noProof/>
          </w:rPr>
          <w:fldChar w:fldCharType="end"/>
        </w:r>
      </w:hyperlink>
    </w:p>
    <w:p w:rsidR="00E42BFA" w:rsidRDefault="00DE48A7">
      <w:pPr>
        <w:tabs>
          <w:tab w:val="right" w:leader="dot" w:pos="9062"/>
        </w:tabs>
        <w:rPr>
          <w:rStyle w:val="fontStyleText"/>
          <w:noProof/>
        </w:rPr>
      </w:pPr>
      <w:hyperlink w:anchor="_Toc7" w:history="1">
        <w:r w:rsidR="00AA548D">
          <w:rPr>
            <w:noProof/>
          </w:rPr>
          <w:t>Создание буклета о золотом сечении</w:t>
        </w:r>
        <w:r w:rsidR="00AA548D">
          <w:rPr>
            <w:noProof/>
          </w:rPr>
          <w:tab/>
        </w:r>
        <w:r w:rsidR="00AA548D">
          <w:rPr>
            <w:noProof/>
          </w:rPr>
          <w:fldChar w:fldCharType="begin"/>
        </w:r>
        <w:r w:rsidR="00AA548D">
          <w:rPr>
            <w:noProof/>
          </w:rPr>
          <w:instrText>PAGEREF _Toc7 \h</w:instrText>
        </w:r>
        <w:r w:rsidR="00AA548D">
          <w:rPr>
            <w:noProof/>
          </w:rPr>
        </w:r>
        <w:r w:rsidR="00AA548D">
          <w:rPr>
            <w:noProof/>
          </w:rPr>
          <w:fldChar w:fldCharType="separate"/>
        </w:r>
        <w:r>
          <w:rPr>
            <w:noProof/>
          </w:rPr>
          <w:t>18</w:t>
        </w:r>
        <w:r w:rsidR="00AA548D">
          <w:rPr>
            <w:noProof/>
          </w:rPr>
          <w:fldChar w:fldCharType="end"/>
        </w:r>
      </w:hyperlink>
    </w:p>
    <w:p w:rsidR="00E42BFA" w:rsidRDefault="00DE48A7">
      <w:pPr>
        <w:tabs>
          <w:tab w:val="right" w:leader="dot" w:pos="9062"/>
        </w:tabs>
        <w:rPr>
          <w:rStyle w:val="fontStyleText"/>
          <w:noProof/>
        </w:rPr>
      </w:pPr>
      <w:hyperlink w:anchor="_Toc8" w:history="1">
        <w:r w:rsidR="00AA548D">
          <w:rPr>
            <w:noProof/>
          </w:rPr>
          <w:t>Презентация результатов исследования</w:t>
        </w:r>
        <w:r w:rsidR="00AA548D">
          <w:rPr>
            <w:noProof/>
          </w:rPr>
          <w:tab/>
        </w:r>
        <w:r w:rsidR="00AA548D">
          <w:rPr>
            <w:noProof/>
          </w:rPr>
          <w:fldChar w:fldCharType="begin"/>
        </w:r>
        <w:r w:rsidR="00AA548D">
          <w:rPr>
            <w:noProof/>
          </w:rPr>
          <w:instrText>PAGEREF _Toc8 \h</w:instrText>
        </w:r>
        <w:r w:rsidR="00AA548D">
          <w:rPr>
            <w:noProof/>
          </w:rPr>
        </w:r>
        <w:r w:rsidR="00AA548D">
          <w:rPr>
            <w:noProof/>
          </w:rPr>
          <w:fldChar w:fldCharType="separate"/>
        </w:r>
        <w:r>
          <w:rPr>
            <w:noProof/>
          </w:rPr>
          <w:t>21</w:t>
        </w:r>
        <w:r w:rsidR="00AA548D">
          <w:rPr>
            <w:noProof/>
          </w:rPr>
          <w:fldChar w:fldCharType="end"/>
        </w:r>
      </w:hyperlink>
    </w:p>
    <w:p w:rsidR="00E42BFA" w:rsidRDefault="00DE48A7">
      <w:pPr>
        <w:tabs>
          <w:tab w:val="right" w:leader="dot" w:pos="9062"/>
        </w:tabs>
        <w:rPr>
          <w:rStyle w:val="fontStyleText"/>
          <w:noProof/>
        </w:rPr>
      </w:pPr>
      <w:hyperlink w:anchor="_Toc9" w:history="1">
        <w:r w:rsidR="00AA548D">
          <w:rPr>
            <w:noProof/>
          </w:rPr>
          <w:t>Заключение</w:t>
        </w:r>
        <w:r w:rsidR="00AA548D">
          <w:rPr>
            <w:noProof/>
          </w:rPr>
          <w:tab/>
        </w:r>
        <w:r w:rsidR="00AA548D">
          <w:rPr>
            <w:noProof/>
          </w:rPr>
          <w:fldChar w:fldCharType="begin"/>
        </w:r>
        <w:r w:rsidR="00AA548D">
          <w:rPr>
            <w:noProof/>
          </w:rPr>
          <w:instrText>PAGEREF _Toc9 \h</w:instrText>
        </w:r>
        <w:r w:rsidR="00AA548D">
          <w:rPr>
            <w:noProof/>
          </w:rPr>
        </w:r>
        <w:r w:rsidR="00AA548D">
          <w:rPr>
            <w:noProof/>
          </w:rPr>
          <w:fldChar w:fldCharType="separate"/>
        </w:r>
        <w:r>
          <w:rPr>
            <w:noProof/>
          </w:rPr>
          <w:t>23</w:t>
        </w:r>
        <w:r w:rsidR="00AA548D">
          <w:rPr>
            <w:noProof/>
          </w:rPr>
          <w:fldChar w:fldCharType="end"/>
        </w:r>
      </w:hyperlink>
    </w:p>
    <w:p w:rsidR="00E42BFA" w:rsidRDefault="00DE48A7">
      <w:pPr>
        <w:tabs>
          <w:tab w:val="right" w:leader="dot" w:pos="9062"/>
        </w:tabs>
        <w:rPr>
          <w:noProof/>
        </w:rPr>
      </w:pPr>
      <w:hyperlink w:anchor="_Toc10" w:history="1">
        <w:r w:rsidR="00AA548D">
          <w:rPr>
            <w:noProof/>
          </w:rPr>
          <w:t>Список литературы</w:t>
        </w:r>
        <w:r w:rsidR="00AA548D">
          <w:rPr>
            <w:noProof/>
          </w:rPr>
          <w:tab/>
        </w:r>
        <w:r w:rsidR="00AA548D">
          <w:rPr>
            <w:noProof/>
          </w:rPr>
          <w:fldChar w:fldCharType="begin"/>
        </w:r>
        <w:r w:rsidR="00AA548D">
          <w:rPr>
            <w:noProof/>
          </w:rPr>
          <w:instrText>PAGEREF _Toc10 \h</w:instrText>
        </w:r>
        <w:r w:rsidR="00AA548D">
          <w:rPr>
            <w:noProof/>
          </w:rPr>
        </w:r>
        <w:r w:rsidR="00AA548D">
          <w:rPr>
            <w:noProof/>
          </w:rPr>
          <w:fldChar w:fldCharType="separate"/>
        </w:r>
        <w:r>
          <w:rPr>
            <w:noProof/>
          </w:rPr>
          <w:t>26</w:t>
        </w:r>
        <w:r w:rsidR="00AA548D">
          <w:rPr>
            <w:noProof/>
          </w:rPr>
          <w:fldChar w:fldCharType="end"/>
        </w:r>
      </w:hyperlink>
    </w:p>
    <w:p w:rsidR="00EB7A04" w:rsidRDefault="00EB7A04">
      <w:pPr>
        <w:tabs>
          <w:tab w:val="right" w:leader="dot" w:pos="9062"/>
        </w:tabs>
        <w:rPr>
          <w:rStyle w:val="fontStyleText"/>
          <w:noProof/>
        </w:rPr>
      </w:pPr>
      <w:r>
        <w:rPr>
          <w:noProof/>
        </w:rPr>
        <w:t>Приложение</w:t>
      </w:r>
    </w:p>
    <w:p w:rsidR="00E42BFA" w:rsidRDefault="00AA548D">
      <w:r>
        <w:fldChar w:fldCharType="end"/>
      </w:r>
    </w:p>
    <w:p w:rsidR="00E42BFA" w:rsidRDefault="00E42BFA">
      <w:pPr>
        <w:sectPr w:rsidR="00E42BFA">
          <w:pgSz w:w="11905" w:h="16837"/>
          <w:pgMar w:top="1440" w:right="1440" w:bottom="1440" w:left="1440" w:header="720" w:footer="720" w:gutter="0"/>
          <w:pgNumType w:start="1"/>
          <w:cols w:space="720"/>
        </w:sectPr>
      </w:pPr>
    </w:p>
    <w:p w:rsidR="00E42BFA" w:rsidRDefault="00AA548D">
      <w:pPr>
        <w:pStyle w:val="1"/>
      </w:pPr>
      <w:bookmarkStart w:id="1" w:name="_Toc1"/>
      <w:r>
        <w:lastRenderedPageBreak/>
        <w:t>Введение</w:t>
      </w:r>
      <w:bookmarkEnd w:id="1"/>
    </w:p>
    <w:p w:rsidR="00E42BFA" w:rsidRDefault="00E42BFA">
      <w:pPr>
        <w:pStyle w:val="paragraphStyleText"/>
      </w:pPr>
    </w:p>
    <w:p w:rsidR="00E42BFA" w:rsidRDefault="00AA548D">
      <w:pPr>
        <w:pStyle w:val="paragraphStyleText"/>
      </w:pPr>
      <w:r>
        <w:rPr>
          <w:rStyle w:val="fontStyleText"/>
        </w:rPr>
        <w:t>Золотое сечение, известное также как "божественная пропорция", представляет собой одну из самых загадочных и притягательных концепций в математике и искусстве. Эта уникальная пропорция, равная примерно 1.6180339887, на протяжении веков привлекала внимание ученых, художников и архитекторов, вдохновляя их на создание шедевров, которые до сих пор восхищают и удивляют. В рамках данного проекта "Золотое сечение в 7 классе" мы стремимся не только познакомить учащихся с этой увлекательной темой, но и продемонстрировать, как математические концепции могут быть применены в реальной жизни и окружающем мире.</w:t>
      </w:r>
    </w:p>
    <w:p w:rsidR="00E42BFA" w:rsidRDefault="00E42BFA">
      <w:pPr>
        <w:pStyle w:val="paragraphStyleText"/>
      </w:pPr>
    </w:p>
    <w:p w:rsidR="00E42BFA" w:rsidRDefault="00AA548D">
      <w:pPr>
        <w:pStyle w:val="paragraphStyleText"/>
      </w:pPr>
      <w:r>
        <w:rPr>
          <w:rStyle w:val="fontStyleText"/>
        </w:rPr>
        <w:t>Актуальность работы заключается в том, что в современном образовательном процессе наблюдается недостаток практических знаний о применении математических концепций. Учащиеся часто воспринимают математику как абстрактную науку, не имеющую отношения к их повседневной жизни. Проект "Золотое сечение в 7 классе" направлен на устранение этого разрыва, предоставляя учащимся возможность увидеть, как золотое сечение проявляется в природе, искусстве и архитектуре, а также как оно может быть использовано для анализа и понимания окружающего мира.</w:t>
      </w:r>
    </w:p>
    <w:p w:rsidR="00E42BFA" w:rsidRDefault="00E42BFA">
      <w:pPr>
        <w:pStyle w:val="paragraphStyleText"/>
      </w:pPr>
    </w:p>
    <w:p w:rsidR="00E42BFA" w:rsidRDefault="00AA548D">
      <w:pPr>
        <w:pStyle w:val="paragraphStyleText"/>
      </w:pPr>
      <w:r>
        <w:rPr>
          <w:rStyle w:val="fontStyleText"/>
        </w:rPr>
        <w:t xml:space="preserve">В рамках нашего проекта мы будем рассматривать несколько ключевых тем, которые помогут углубить понимание золотого сечения и его значимости. Первая тема — это определение и математическая основа золотого сечения. Мы изучим, как эта пропорция была открыта и как она может быть выражена в математических терминах. Понимание основ </w:t>
      </w:r>
      <w:r>
        <w:rPr>
          <w:rStyle w:val="fontStyleText"/>
        </w:rPr>
        <w:lastRenderedPageBreak/>
        <w:t>золотого сечения станет основой для дальнейшего изучения его применения.</w:t>
      </w:r>
    </w:p>
    <w:p w:rsidR="00E42BFA" w:rsidRDefault="00E42BFA">
      <w:pPr>
        <w:pStyle w:val="paragraphStyleText"/>
      </w:pPr>
    </w:p>
    <w:p w:rsidR="00E42BFA" w:rsidRDefault="00AA548D">
      <w:pPr>
        <w:pStyle w:val="paragraphStyleText"/>
      </w:pPr>
      <w:r>
        <w:rPr>
          <w:rStyle w:val="fontStyleText"/>
        </w:rPr>
        <w:t>Следующим шагом будет исследование золотых фигур, таких как золотые треугольники и золотые прямоугольники. Мы рассмотрим их свойства и особенности, а также то, как они связаны с золотым сечением. Эти фигуры не только имеют эстетическую привлекательность, но и служат важными инструментами в различных областях науки и искусства.</w:t>
      </w:r>
    </w:p>
    <w:p w:rsidR="00E42BFA" w:rsidRDefault="00E42BFA">
      <w:pPr>
        <w:pStyle w:val="paragraphStyleText"/>
      </w:pPr>
    </w:p>
    <w:p w:rsidR="00E42BFA" w:rsidRDefault="00AA548D">
      <w:pPr>
        <w:pStyle w:val="paragraphStyleText"/>
      </w:pPr>
      <w:r>
        <w:rPr>
          <w:rStyle w:val="fontStyleText"/>
        </w:rPr>
        <w:t>Одной из наиболее интересных тем нашего проекта станет применение золотого сечения в природе. Мы исследуем, как эта пропорция проявляется в различных природных формах, таких как раковины, цветы и даже человеческое тело. Это позволит учащимся увидеть, как математика пронизывает все аспекты жизни и как она может помочь в понимании природных явлений.</w:t>
      </w:r>
    </w:p>
    <w:p w:rsidR="00E42BFA" w:rsidRDefault="00E42BFA">
      <w:pPr>
        <w:pStyle w:val="paragraphStyleText"/>
      </w:pPr>
    </w:p>
    <w:p w:rsidR="00E42BFA" w:rsidRDefault="00AA548D">
      <w:pPr>
        <w:pStyle w:val="paragraphStyleText"/>
      </w:pPr>
      <w:r>
        <w:rPr>
          <w:rStyle w:val="fontStyleText"/>
        </w:rPr>
        <w:t>Кроме того, мы уделим внимание золотому сечению в искусстве. Мы рассмотрим, как великие художники, такие как Леонардо да Винчи и Микеланджело, использовали золотую пропорцию в своих произведениях, чтобы создать гармоничные и эстетически привлекательные композиции. Это исследование поможет учащимся понять, как математика и искусство могут пересекаться и обогащать друг друга.</w:t>
      </w:r>
    </w:p>
    <w:p w:rsidR="00E42BFA" w:rsidRDefault="00E42BFA">
      <w:pPr>
        <w:pStyle w:val="paragraphStyleText"/>
      </w:pPr>
    </w:p>
    <w:p w:rsidR="00E42BFA" w:rsidRDefault="00AA548D">
      <w:pPr>
        <w:pStyle w:val="paragraphStyleText"/>
      </w:pPr>
      <w:r>
        <w:rPr>
          <w:rStyle w:val="fontStyleText"/>
        </w:rPr>
        <w:t>Практические измерения роста и частей тела у одноклассников станут важной частью нашего проекта. Учащиеся смогут на практике применить полученные знания о золотом сечении, измеряя свои собственные пропорции и анализируя, как они соотносятся с этой математической концепцией. Это не только углубит их понимание, но и сделает процесс обучения более интерактивным и увлекательным.</w:t>
      </w:r>
    </w:p>
    <w:p w:rsidR="00E42BFA" w:rsidRDefault="00E42BFA">
      <w:pPr>
        <w:pStyle w:val="paragraphStyleText"/>
      </w:pPr>
    </w:p>
    <w:p w:rsidR="00E42BFA" w:rsidRDefault="00AA548D">
      <w:pPr>
        <w:pStyle w:val="paragraphStyleText"/>
      </w:pPr>
      <w:r>
        <w:rPr>
          <w:rStyle w:val="fontStyleText"/>
        </w:rPr>
        <w:lastRenderedPageBreak/>
        <w:t>В дополнение к практическим измерениям, учащиеся создадут буклет о золотом сечении, в котором будут представлены примеры из природы и искусства. Этот буклет станет не только наглядным пособием, но и способом поделиться своими знаниями с другими. Также будет подготовлена презентация результатов исследования, которая позволит учащимся продемонстрировать свои достижения и поделиться своими открытиями с одноклассниками и учителями.</w:t>
      </w:r>
    </w:p>
    <w:p w:rsidR="00E42BFA" w:rsidRDefault="00E42BFA">
      <w:pPr>
        <w:pStyle w:val="paragraphStyleText"/>
      </w:pPr>
    </w:p>
    <w:p w:rsidR="00E42BFA" w:rsidRDefault="00AA548D" w:rsidP="00DE48A7">
      <w:pPr>
        <w:pStyle w:val="paragraphStyleText"/>
        <w:sectPr w:rsidR="00E42BFA">
          <w:footerReference w:type="default" r:id="rId6"/>
          <w:pgSz w:w="11905" w:h="16837"/>
          <w:pgMar w:top="1440" w:right="1440" w:bottom="1440" w:left="1440" w:header="720" w:footer="720" w:gutter="0"/>
          <w:cols w:space="720"/>
        </w:sectPr>
      </w:pPr>
      <w:r>
        <w:rPr>
          <w:rStyle w:val="fontStyleText"/>
        </w:rPr>
        <w:t>Таким образом, проект "Золотое сечение в 7 классе" представляет собой комплексное исследование, которое охватывает как теоретические, так и практические аспекты золотого сечения. Мы надеемся, что этот проект не только углубит знания учащихся о математике, но и поможет им увидеть красоту и гармонию, которые окружают нас в природе и искусстве, а также научит их применять математические конце</w:t>
      </w:r>
      <w:r w:rsidR="00DE48A7">
        <w:rPr>
          <w:rStyle w:val="fontStyleText"/>
        </w:rPr>
        <w:t>пции в своей повседневной жизни.</w:t>
      </w:r>
    </w:p>
    <w:p w:rsidR="00E42BFA" w:rsidRDefault="00AA548D" w:rsidP="00250E69">
      <w:pPr>
        <w:pStyle w:val="1"/>
      </w:pPr>
      <w:bookmarkStart w:id="2" w:name="_Toc2"/>
      <w:r>
        <w:lastRenderedPageBreak/>
        <w:t xml:space="preserve">Определение и математическая основа золотого </w:t>
      </w:r>
      <w:proofErr w:type="gramStart"/>
      <w:r>
        <w:t>сечения</w:t>
      </w:r>
      <w:bookmarkEnd w:id="2"/>
      <w:r>
        <w:rPr>
          <w:rStyle w:val="fontStyleText"/>
        </w:rPr>
        <w:t xml:space="preserve">  Рисунок</w:t>
      </w:r>
      <w:proofErr w:type="gramEnd"/>
      <w:r>
        <w:rPr>
          <w:rStyle w:val="fontStyleText"/>
        </w:rPr>
        <w:t xml:space="preserve"> 1. Определение и примеры золотого сечения в геометрии Рисунок 2. Определение и примеры золотого сечения в геометрии</w:t>
      </w:r>
    </w:p>
    <w:p w:rsidR="00E42BFA" w:rsidRDefault="00AA548D">
      <w:pPr>
        <w:pStyle w:val="paragraphStyleText"/>
      </w:pPr>
      <w:r>
        <w:rPr>
          <w:rStyle w:val="fontStyleText"/>
        </w:rPr>
        <w:t>Золотое сечение представляет собой уникальное математическое выражение, отражающее идеалы гармонии и красоты. Условие золотого сечения выглядит следующим образом: отрезок делится на две части так, что отношение большей части к целому равно отношению меньшей части к большей. Это математическое правило обозначается греческой буквой φ (фи), которая примерно равна 1.6180339887. Так, если обозначить меньшую часть отрезка через a, а большую часть через b, то можно записать уравнение: (</w:t>
      </w:r>
      <w:proofErr w:type="spellStart"/>
      <w:r>
        <w:rPr>
          <w:rStyle w:val="fontStyleText"/>
        </w:rPr>
        <w:t>a+</w:t>
      </w:r>
      <w:proofErr w:type="gramStart"/>
      <w:r>
        <w:rPr>
          <w:rStyle w:val="fontStyleText"/>
        </w:rPr>
        <w:t>b</w:t>
      </w:r>
      <w:proofErr w:type="spellEnd"/>
      <w:r>
        <w:rPr>
          <w:rStyle w:val="fontStyleText"/>
        </w:rPr>
        <w:t>)/</w:t>
      </w:r>
      <w:proofErr w:type="gramEnd"/>
      <w:r>
        <w:rPr>
          <w:rStyle w:val="fontStyleText"/>
        </w:rPr>
        <w:t>b = b/a = φ. Данная формула иллюстрирует взаимосвязь между частями и целым, создавая идеальную симметрию и пропорциональность [1].</w:t>
      </w:r>
    </w:p>
    <w:p w:rsidR="00E42BFA" w:rsidRDefault="00E42BFA">
      <w:pPr>
        <w:pStyle w:val="paragraphStyleText"/>
      </w:pPr>
    </w:p>
    <w:p w:rsidR="00E42BFA" w:rsidRDefault="00AA548D">
      <w:pPr>
        <w:pStyle w:val="paragraphStyleText"/>
      </w:pPr>
      <w:r>
        <w:rPr>
          <w:rStyle w:val="fontStyleText"/>
        </w:rPr>
        <w:t xml:space="preserve">Золотое сечение часто встречается в природе и было изучено множеством художников и ученых на протяжении веков, включая работы Евклида и Лука </w:t>
      </w:r>
      <w:proofErr w:type="spellStart"/>
      <w:r>
        <w:rPr>
          <w:rStyle w:val="fontStyleText"/>
        </w:rPr>
        <w:t>Пачоли</w:t>
      </w:r>
      <w:proofErr w:type="spellEnd"/>
      <w:r>
        <w:rPr>
          <w:rStyle w:val="fontStyleText"/>
        </w:rPr>
        <w:t>, которые изучали его в контексте геометрии и искусства. В архитектуре, например, древнегреческий Парфенон и многие другие исторические здания были созданы с учетом этого принципа, что обеспечивало визуальное равновесие и эстетическую привлекательность [2]. При наблюдении за природными формами, такими как спирали ракушек или расположение листьев на стебле, золотое сечение также обнаруживается как универсальный закон, гармонизирующий окружающий мир [3].</w:t>
      </w:r>
    </w:p>
    <w:p w:rsidR="00E42BFA" w:rsidRDefault="00E42BFA">
      <w:pPr>
        <w:pStyle w:val="paragraphStyleText"/>
      </w:pPr>
    </w:p>
    <w:p w:rsidR="00E42BFA" w:rsidRDefault="00AA548D">
      <w:pPr>
        <w:pStyle w:val="paragraphStyleText"/>
      </w:pPr>
      <w:r>
        <w:rPr>
          <w:rStyle w:val="fontStyleText"/>
        </w:rPr>
        <w:t xml:space="preserve">Значение золотого сечения заключается не только в его математическом описании, но и в практическом применении. Этот принцип активно используется дизайнерами и архитекторами для создания визуально и структурно сбалансированных объектов. В графическом дизайне, живописи, фотографии и даже в композиции </w:t>
      </w:r>
      <w:r>
        <w:rPr>
          <w:rStyle w:val="fontStyleText"/>
        </w:rPr>
        <w:lastRenderedPageBreak/>
        <w:t>музыкальных произведений можно заметить, что элементы, расположенные в соответствии с пропорциями φ, воспринимаются как более притягательные и гармоничные. Примеры такого использования можно наблюдать в работах известных художников, таких как Леонардо да Винчи и Сальвадор Дали, которые внедряли в свои произведения элементы золотого сечения [4].</w:t>
      </w:r>
    </w:p>
    <w:p w:rsidR="00E42BFA" w:rsidRDefault="00E42BFA">
      <w:pPr>
        <w:pStyle w:val="paragraphStyleText"/>
      </w:pPr>
    </w:p>
    <w:p w:rsidR="00E42BFA" w:rsidRDefault="00AA548D">
      <w:pPr>
        <w:pStyle w:val="paragraphStyleText"/>
      </w:pPr>
      <w:r>
        <w:rPr>
          <w:rStyle w:val="fontStyleText"/>
        </w:rPr>
        <w:t>Далее, район Фибоначчи тесно связан с золотым сечением. Это последовательность, в которой каждое число и есть сумма двух предыдущих (например, 1, 1, 2, 3, 5, 8 и так далее). При делении любого числа Фибоначчи на предыдущее число в последовательности результат всегда стремится к φ. Этот феномен прослеживается в различных аспектах, начиная от природных форм и заканчивая алгоритмами в компьютерных науках, что подчеркивает универсальность и значимость золотого сечения в разных науках и дисциплинах [5].</w:t>
      </w:r>
    </w:p>
    <w:p w:rsidR="00E42BFA" w:rsidRDefault="00E42BFA">
      <w:pPr>
        <w:pStyle w:val="paragraphStyleText"/>
      </w:pPr>
    </w:p>
    <w:p w:rsidR="00E42BFA" w:rsidRDefault="00AA548D">
      <w:pPr>
        <w:pStyle w:val="paragraphStyleText"/>
      </w:pPr>
      <w:r>
        <w:rPr>
          <w:rStyle w:val="fontStyleText"/>
        </w:rPr>
        <w:t xml:space="preserve">Таким образом, золотое сечение является более чем лишь математическим выражением. Оно пронизывает различные аспекты нашей жизни, от эстетики до науки, создавая гармоничное пространство в архитектуре, искусстве и природе. Понимание и использование этой концепции позволяет развивать проектирование и анализ, что актуально как в </w:t>
      </w:r>
      <w:proofErr w:type="spellStart"/>
      <w:r>
        <w:rPr>
          <w:rStyle w:val="fontStyleText"/>
        </w:rPr>
        <w:t>академи</w:t>
      </w:r>
      <w:proofErr w:type="spellEnd"/>
      <w:r>
        <w:rPr>
          <w:rStyle w:val="fontStyleText"/>
        </w:rPr>
        <w:t xml:space="preserve"> ческой среде, так и в практических профессиях.</w:t>
      </w:r>
    </w:p>
    <w:p w:rsidR="00E42BFA" w:rsidRDefault="00E42BFA">
      <w:pPr>
        <w:sectPr w:rsidR="00E42BFA">
          <w:footerReference w:type="default" r:id="rId7"/>
          <w:pgSz w:w="11905" w:h="16837"/>
          <w:pgMar w:top="1440" w:right="1440" w:bottom="1440" w:left="1440" w:header="720" w:footer="720" w:gutter="0"/>
          <w:cols w:space="720"/>
        </w:sectPr>
      </w:pPr>
    </w:p>
    <w:p w:rsidR="00E42BFA" w:rsidRDefault="00AA548D">
      <w:pPr>
        <w:pStyle w:val="1"/>
      </w:pPr>
      <w:bookmarkStart w:id="3" w:name="_Toc3"/>
      <w:r>
        <w:lastRenderedPageBreak/>
        <w:t>Золотые фигуры: треугольники и прямоугольники</w:t>
      </w:r>
      <w:bookmarkEnd w:id="3"/>
    </w:p>
    <w:p w:rsidR="00E42BFA" w:rsidRPr="00250E69" w:rsidRDefault="00AA548D">
      <w:pPr>
        <w:pStyle w:val="paragraphStyleText"/>
        <w:rPr>
          <w:b/>
        </w:rPr>
      </w:pPr>
      <w:r w:rsidRPr="00250E69">
        <w:rPr>
          <w:b/>
        </w:rPr>
        <w:t xml:space="preserve"> </w:t>
      </w:r>
      <w:r w:rsidRPr="00250E69">
        <w:rPr>
          <w:rStyle w:val="fontStyleText"/>
          <w:b/>
        </w:rPr>
        <w:t xml:space="preserve">  Рисунок 3. Схемы золотого треугольника и золотого прямоугольника</w:t>
      </w:r>
    </w:p>
    <w:p w:rsidR="00E42BFA" w:rsidRPr="00250E69" w:rsidRDefault="00AA548D">
      <w:pPr>
        <w:pStyle w:val="paragraphStyleText"/>
        <w:rPr>
          <w:b/>
        </w:rPr>
      </w:pPr>
      <w:r w:rsidRPr="00250E69">
        <w:rPr>
          <w:b/>
        </w:rPr>
        <w:t xml:space="preserve"> </w:t>
      </w:r>
      <w:r w:rsidRPr="00250E69">
        <w:rPr>
          <w:rStyle w:val="fontStyleText"/>
          <w:b/>
        </w:rPr>
        <w:t xml:space="preserve">  Рисунок 4. Схемы золотого треугольника и золотого прямоугольника</w:t>
      </w:r>
    </w:p>
    <w:p w:rsidR="00E42BFA" w:rsidRDefault="00AA548D">
      <w:pPr>
        <w:pStyle w:val="paragraphStyleText"/>
      </w:pPr>
      <w:r>
        <w:rPr>
          <w:rStyle w:val="fontStyleText"/>
        </w:rPr>
        <w:t>Золотое сечение проявляется в различных геометрических формах, и наибольшее внимание привлекают золотые треугольники и золотые прямоугольники. Эти фигуры имеют особое гармоничное соотношение сторон, которое затрагивает математические, эстетические и даже философские аспекты.</w:t>
      </w:r>
    </w:p>
    <w:p w:rsidR="00E42BFA" w:rsidRDefault="00E42BFA">
      <w:pPr>
        <w:pStyle w:val="paragraphStyleText"/>
      </w:pPr>
    </w:p>
    <w:p w:rsidR="00E42BFA" w:rsidRDefault="00AA548D">
      <w:pPr>
        <w:pStyle w:val="paragraphStyleText"/>
      </w:pPr>
      <w:r>
        <w:rPr>
          <w:rStyle w:val="fontStyleText"/>
        </w:rPr>
        <w:t>Золотой треугольник представляет собой равнобедренный треугольник, где соотношение длины оснований и боковых сторон соответствует золотому сечению. Формальное математическое описание этого треугольника заключается в том, что соотношение длин его сторон соответствует примерно 1,618. Это делает его визуально привлекательным и гармоничным. Во многих культурах использование золотого треугольника связано с идеей красоты и баланса. Например, в архитектуре и изобразительном искусстве часто можно встретить элементы, основанные на структуре золотого треугольника, поскольку они создают ощущение комфорта и завершенности [6].</w:t>
      </w:r>
    </w:p>
    <w:p w:rsidR="00E42BFA" w:rsidRDefault="00E42BFA">
      <w:pPr>
        <w:pStyle w:val="paragraphStyleText"/>
      </w:pPr>
    </w:p>
    <w:p w:rsidR="00E42BFA" w:rsidRDefault="00AA548D">
      <w:pPr>
        <w:pStyle w:val="paragraphStyleText"/>
      </w:pPr>
      <w:r>
        <w:rPr>
          <w:rStyle w:val="fontStyleText"/>
        </w:rPr>
        <w:t xml:space="preserve">Золотой прямоугольник также имеет свои уникальные характеристики. Если стороны прямоугольника находятся в соотношении, равном золотой пропорции, то, если от него отрезать квадрат, оставшаяся часть будет оставаться золотым прямоугольником. Эта особенность делает золотой прямоугольник универсальным инструментом в дизайне, архитектуре и искусстве. Например, считается, что такие формы часто используют мастера, чтобы создать визуальную гармонию в своих </w:t>
      </w:r>
      <w:r>
        <w:rPr>
          <w:rStyle w:val="fontStyleText"/>
        </w:rPr>
        <w:lastRenderedPageBreak/>
        <w:t>работах. В Исаакиевском соборе в Санкт-Петербурге также можно увидеть применение как золотых прямоугольников, так и треугольников, что добавляет величия и гармонии этому архитектурному произведению [7].</w:t>
      </w:r>
    </w:p>
    <w:p w:rsidR="00E42BFA" w:rsidRDefault="00E42BFA">
      <w:pPr>
        <w:pStyle w:val="paragraphStyleText"/>
      </w:pPr>
    </w:p>
    <w:p w:rsidR="00E42BFA" w:rsidRDefault="00AA548D">
      <w:pPr>
        <w:pStyle w:val="paragraphStyleText"/>
      </w:pPr>
      <w:r>
        <w:rPr>
          <w:rStyle w:val="fontStyleText"/>
        </w:rPr>
        <w:t>Практические аспекты работы с золотым сечением могут быть показаны через создание моделей этих фигур. Например, при преподавании математики успешным может быть проект, в котором ученики создают золотые треугольники и прямоугольники из бумаги, измеряя длины сторон и сравнивая их соотношения с заданными пропорциями. Такие упражнения помогают студентам понять и визуализировать концепцию золотого сечения, так как они учатся применять её на практике [8]. Работая с этими фигурами, учащиеся также могут получить представление о том, как математика может быть связана с искусством и природой.</w:t>
      </w:r>
    </w:p>
    <w:p w:rsidR="00E42BFA" w:rsidRDefault="00E42BFA">
      <w:pPr>
        <w:pStyle w:val="paragraphStyleText"/>
      </w:pPr>
    </w:p>
    <w:p w:rsidR="00E42BFA" w:rsidRDefault="00AA548D">
      <w:pPr>
        <w:pStyle w:val="paragraphStyleText"/>
      </w:pPr>
      <w:r>
        <w:rPr>
          <w:rStyle w:val="fontStyleText"/>
        </w:rPr>
        <w:t>Кроме того, изучение этих форм способствует развитию пространственного мышления. Учащиеся не только запоминают формулы и теорию, но и начинают воспринимать физические объекты через призму математики. Это становится особенно полезным при изучении таких предметов, как геометрия. Они начинают осознавать, что многие природные формы, такие как раковины, цветы и даже человеческое тело, поддаются принципам золотого сечения [9]. Эта связь между математикой и реальным миром может вдохновить учеников на дальнейшее изучение как природы, так и искусства.</w:t>
      </w:r>
    </w:p>
    <w:p w:rsidR="00E42BFA" w:rsidRDefault="00E42BFA">
      <w:pPr>
        <w:pStyle w:val="paragraphStyleText"/>
      </w:pPr>
    </w:p>
    <w:p w:rsidR="00E42BFA" w:rsidRDefault="00AA548D">
      <w:pPr>
        <w:pStyle w:val="paragraphStyleText"/>
      </w:pPr>
      <w:r>
        <w:rPr>
          <w:rStyle w:val="fontStyleText"/>
        </w:rPr>
        <w:t xml:space="preserve">Важно отметить, что золотое сечение используется не только в современных проектах, но и имеет свою историю, которая уходит в древность. Например, многие античные здания, такие как Парфенон в Афинах, были построены с учетом золотого сечения. Исследования </w:t>
      </w:r>
      <w:r>
        <w:rPr>
          <w:rStyle w:val="fontStyleText"/>
        </w:rPr>
        <w:lastRenderedPageBreak/>
        <w:t>показывают, что это соотношение ценится более чем 2500 лет и продолжает быть важным в архитектурной практике и сегодня [10]. Узнавая о таких исторических примерах, ученики могут видеть, как математические концепции влияют на различные области человеческой деятельности.</w:t>
      </w:r>
    </w:p>
    <w:p w:rsidR="00E42BFA" w:rsidRDefault="00E42BFA">
      <w:pPr>
        <w:pStyle w:val="paragraphStyleText"/>
      </w:pPr>
    </w:p>
    <w:p w:rsidR="00E42BFA" w:rsidRDefault="00AA548D">
      <w:pPr>
        <w:pStyle w:val="paragraphStyleText"/>
      </w:pPr>
      <w:r>
        <w:rPr>
          <w:rStyle w:val="fontStyleText"/>
        </w:rPr>
        <w:t>В итоге, понимание золотого треугольника и золотого прямоугольника является важным шагом в образовательном процессе, который помогает развивать как математические навыки, так и художественное восприятие. Изучение этих фигур не только углубляет знание геометрии, но и показывает, как математика может объединять различные дисциплины, формируя гармоничное восприятие мира вокруг нас.</w:t>
      </w:r>
    </w:p>
    <w:p w:rsidR="00E42BFA" w:rsidRDefault="00E42BFA">
      <w:pPr>
        <w:sectPr w:rsidR="00E42BFA">
          <w:footerReference w:type="default" r:id="rId8"/>
          <w:pgSz w:w="11905" w:h="16837"/>
          <w:pgMar w:top="1440" w:right="1440" w:bottom="1440" w:left="1440" w:header="720" w:footer="720" w:gutter="0"/>
          <w:cols w:space="720"/>
        </w:sectPr>
      </w:pPr>
    </w:p>
    <w:p w:rsidR="00E42BFA" w:rsidRDefault="00AA548D">
      <w:pPr>
        <w:pStyle w:val="1"/>
      </w:pPr>
      <w:bookmarkStart w:id="4" w:name="_Toc4"/>
      <w:r>
        <w:lastRenderedPageBreak/>
        <w:t>Применение золотого сечения в природе</w:t>
      </w:r>
      <w:bookmarkEnd w:id="4"/>
    </w:p>
    <w:p w:rsidR="00E42BFA" w:rsidRPr="00250E69" w:rsidRDefault="00AA548D">
      <w:pPr>
        <w:pStyle w:val="paragraphStyleText"/>
        <w:rPr>
          <w:b/>
        </w:rPr>
      </w:pPr>
      <w:r w:rsidRPr="00250E69">
        <w:rPr>
          <w:b/>
        </w:rPr>
        <w:t xml:space="preserve"> </w:t>
      </w:r>
      <w:r w:rsidRPr="00250E69">
        <w:rPr>
          <w:rStyle w:val="fontStyleText"/>
          <w:b/>
        </w:rPr>
        <w:t xml:space="preserve">  Рисунок 5. Примеры золотого сечения в природе: анатомия, растения и животные</w:t>
      </w:r>
    </w:p>
    <w:p w:rsidR="00E42BFA" w:rsidRPr="00250E69" w:rsidRDefault="00AA548D">
      <w:pPr>
        <w:pStyle w:val="paragraphStyleText"/>
        <w:rPr>
          <w:b/>
        </w:rPr>
      </w:pPr>
      <w:r w:rsidRPr="00250E69">
        <w:rPr>
          <w:b/>
        </w:rPr>
        <w:t xml:space="preserve"> </w:t>
      </w:r>
      <w:r w:rsidRPr="00250E69">
        <w:rPr>
          <w:rStyle w:val="fontStyleText"/>
          <w:b/>
        </w:rPr>
        <w:t xml:space="preserve">  Рисунок 6. Примеры золотого сечения в природе: анатомия, растения и животные</w:t>
      </w:r>
    </w:p>
    <w:p w:rsidR="00E42BFA" w:rsidRDefault="00AA548D">
      <w:pPr>
        <w:pStyle w:val="paragraphStyleText"/>
      </w:pPr>
      <w:r>
        <w:rPr>
          <w:rStyle w:val="fontStyleText"/>
        </w:rPr>
        <w:t>Золотое сечение, известное как гармоническое деление, встречается не только в математике и искусстве, но и в природе, в различных формах и структурах. Одним из самых очевидных примеров является спираль, которая наблюдается в раковинах моллюсков. Эта спираль часто строится на основе чисел Фибоначчи, и её соотношение может быть близким к золотому сечению. Изучая морские раковины, можно заметить, что они имеют постоянное соотношение размеров, напоминающее φ, что создаёт эффект симметрии и гармонии, который так привлекает внимание [11].</w:t>
      </w:r>
    </w:p>
    <w:p w:rsidR="00E42BFA" w:rsidRDefault="00E42BFA">
      <w:pPr>
        <w:pStyle w:val="paragraphStyleText"/>
      </w:pPr>
    </w:p>
    <w:p w:rsidR="00E42BFA" w:rsidRDefault="00AA548D">
      <w:pPr>
        <w:pStyle w:val="paragraphStyleText"/>
      </w:pPr>
      <w:r>
        <w:rPr>
          <w:rStyle w:val="fontStyleText"/>
        </w:rPr>
        <w:t>Другой яркий пример золотого сечения в природе можно найти в растениях. Расположение листьев на стебле деревьев также подчиняется этому принципу. Это максимально эффективный способ распределения листьев для достижения наилучшего освещения и фотосинтеза. Например, многие растения располагают листья так, что каждый новый лист находится на оптимальном расстоянии от предыдущего, что обеспечивает не только гармоничную, но и функциональную структуру [12]. Это демонстрирует, как золотое сечение не просто красиво, но и полезно для выживания и роста растений.</w:t>
      </w:r>
    </w:p>
    <w:p w:rsidR="00E42BFA" w:rsidRDefault="00E42BFA">
      <w:pPr>
        <w:pStyle w:val="paragraphStyleText"/>
      </w:pPr>
    </w:p>
    <w:p w:rsidR="00E42BFA" w:rsidRDefault="00AA548D">
      <w:pPr>
        <w:pStyle w:val="paragraphStyleText"/>
      </w:pPr>
      <w:r>
        <w:rPr>
          <w:rStyle w:val="fontStyleText"/>
        </w:rPr>
        <w:t xml:space="preserve">Ещё одним примером служат цветы. Число лепестков у многих видов цветов также часто соответствует числам Фибоначчи. Например, лилии имеют 3 лепестка, ромашки могут иметь 34, а астры могут располагать 21 или 34 лепестка. Эти числовые соотношения также </w:t>
      </w:r>
      <w:r>
        <w:rPr>
          <w:rStyle w:val="fontStyleText"/>
        </w:rPr>
        <w:lastRenderedPageBreak/>
        <w:t>отражают присутствие золотого сечения в растительном мире, подчеркивая его важность не только в эстетике, но и в биологии [13].</w:t>
      </w:r>
    </w:p>
    <w:p w:rsidR="00E42BFA" w:rsidRDefault="00E42BFA">
      <w:pPr>
        <w:pStyle w:val="paragraphStyleText"/>
      </w:pPr>
    </w:p>
    <w:p w:rsidR="00E42BFA" w:rsidRDefault="00AA548D">
      <w:pPr>
        <w:pStyle w:val="paragraphStyleText"/>
      </w:pPr>
      <w:r>
        <w:rPr>
          <w:rStyle w:val="fontStyleText"/>
        </w:rPr>
        <w:t>Анализируя формы и структуру живых существ, можно заметить, что многие морские обитатели, такие как морские ежи и звёздные рыбы, также содержат пропорции, основанные на золотом сечении. Это говорит о том, что природа использует эту математическую концепцию в различных экосистемах, обеспечивая гармоничное взаимодействие между организмами и окружающей средой [14].</w:t>
      </w:r>
    </w:p>
    <w:p w:rsidR="00E42BFA" w:rsidRDefault="00E42BFA">
      <w:pPr>
        <w:pStyle w:val="paragraphStyleText"/>
      </w:pPr>
    </w:p>
    <w:p w:rsidR="00E42BFA" w:rsidRDefault="00AA548D">
      <w:pPr>
        <w:pStyle w:val="paragraphStyleText"/>
      </w:pPr>
      <w:r>
        <w:rPr>
          <w:rStyle w:val="fontStyleText"/>
        </w:rPr>
        <w:t>Кроме того, золотое сечение можно увидеть в животных. Принято считать, что многие млекопитающие, включая человека, имеют пропорции тела, приближенные к золотому сечению. Исследования показывают, что такие пропорции воспринимаются как наиболее эстетичные, и считаются признаком здоровья и благополучия [1]. Это наблюдение стало основой для многих художественных и медицинских исследований, что делает золотое сечение ключевым элементом в понимании не только красоты, но и здоровья.</w:t>
      </w:r>
    </w:p>
    <w:p w:rsidR="00E42BFA" w:rsidRDefault="00E42BFA">
      <w:pPr>
        <w:pStyle w:val="paragraphStyleText"/>
      </w:pPr>
    </w:p>
    <w:p w:rsidR="00E42BFA" w:rsidRDefault="00AA548D">
      <w:pPr>
        <w:pStyle w:val="paragraphStyleText"/>
      </w:pPr>
      <w:r>
        <w:rPr>
          <w:rStyle w:val="fontStyleText"/>
        </w:rPr>
        <w:t>В мире птиц тоже присутствует золотое сечение, особенно в пропорциях их тельца и крыльев. Птицы, которые имеют сбалансированные пропорции, как правило, лучше летают и выживают. Эти свойства делают их более привлекательными для партнеров, что подтверждает связь между золотым сечением и успешным размножением [12].</w:t>
      </w:r>
    </w:p>
    <w:p w:rsidR="00E42BFA" w:rsidRDefault="00E42BFA">
      <w:pPr>
        <w:pStyle w:val="paragraphStyleText"/>
      </w:pPr>
    </w:p>
    <w:p w:rsidR="00E42BFA" w:rsidRDefault="00AA548D">
      <w:pPr>
        <w:pStyle w:val="paragraphStyleText"/>
      </w:pPr>
      <w:r>
        <w:rPr>
          <w:rStyle w:val="fontStyleText"/>
        </w:rPr>
        <w:t xml:space="preserve">Применение золотого сечения в природе также затрагивает динамику роста. Многие организмы, включая деревья и водоросли, демонстрируют спиральный рост, который можно описать с помощью формулы золотого сечения. Это позволяет им эффективно использовать </w:t>
      </w:r>
      <w:r>
        <w:rPr>
          <w:rStyle w:val="fontStyleText"/>
        </w:rPr>
        <w:lastRenderedPageBreak/>
        <w:t>доступные ресурсы, такие как свет и вода. Таким образом, можно сказать, что золотое сечение является не только эстетическим, но и функциональным принципом, который играет важную роль в жизни различных организмов.</w:t>
      </w:r>
    </w:p>
    <w:p w:rsidR="00E42BFA" w:rsidRDefault="00E42BFA">
      <w:pPr>
        <w:pStyle w:val="paragraphStyleText"/>
      </w:pPr>
    </w:p>
    <w:p w:rsidR="00E42BFA" w:rsidRDefault="00AA548D">
      <w:pPr>
        <w:pStyle w:val="paragraphStyleText"/>
      </w:pPr>
      <w:r>
        <w:rPr>
          <w:rStyle w:val="fontStyleText"/>
        </w:rPr>
        <w:t>Эти примеры подчеркивают, что золотое сечение является универсальным законом, присущим природе. Его присутствие в биологическом мире указывает на гармонию и эффективность, что делает эту концепцию актуальной для изучения в курсе геометрии и биологии. Важно понимать, что природа активно использует математические принципы для оптимизации своих форм и структур, что создает привлекательные и жизнеспособные экосистемы.</w:t>
      </w:r>
    </w:p>
    <w:p w:rsidR="00E42BFA" w:rsidRDefault="00E42BFA">
      <w:pPr>
        <w:sectPr w:rsidR="00E42BFA">
          <w:footerReference w:type="default" r:id="rId9"/>
          <w:pgSz w:w="11905" w:h="16837"/>
          <w:pgMar w:top="1440" w:right="1440" w:bottom="1440" w:left="1440" w:header="720" w:footer="720" w:gutter="0"/>
          <w:cols w:space="720"/>
        </w:sectPr>
      </w:pPr>
    </w:p>
    <w:p w:rsidR="00E42BFA" w:rsidRDefault="00AA548D">
      <w:pPr>
        <w:pStyle w:val="1"/>
      </w:pPr>
      <w:bookmarkStart w:id="5" w:name="_Toc5"/>
      <w:r>
        <w:lastRenderedPageBreak/>
        <w:t>Золотое сечение в искусстве</w:t>
      </w:r>
      <w:bookmarkEnd w:id="5"/>
    </w:p>
    <w:p w:rsidR="00E42BFA" w:rsidRPr="00250E69" w:rsidRDefault="00AA548D">
      <w:pPr>
        <w:pStyle w:val="paragraphStyleText"/>
        <w:rPr>
          <w:b/>
        </w:rPr>
      </w:pPr>
      <w:r>
        <w:t xml:space="preserve"> </w:t>
      </w:r>
      <w:r>
        <w:rPr>
          <w:rStyle w:val="fontStyleText"/>
        </w:rPr>
        <w:t xml:space="preserve">  </w:t>
      </w:r>
      <w:r w:rsidRPr="00250E69">
        <w:rPr>
          <w:rStyle w:val="fontStyleText"/>
          <w:b/>
        </w:rPr>
        <w:t>Рисунок 7. Примеры использования золотого сечения в искусстве</w:t>
      </w:r>
    </w:p>
    <w:p w:rsidR="00E42BFA" w:rsidRPr="00250E69" w:rsidRDefault="00AA548D">
      <w:pPr>
        <w:pStyle w:val="paragraphStyleText"/>
        <w:rPr>
          <w:b/>
        </w:rPr>
      </w:pPr>
      <w:r w:rsidRPr="00250E69">
        <w:rPr>
          <w:b/>
        </w:rPr>
        <w:t xml:space="preserve"> </w:t>
      </w:r>
      <w:r w:rsidRPr="00250E69">
        <w:rPr>
          <w:rStyle w:val="fontStyleText"/>
          <w:b/>
        </w:rPr>
        <w:t xml:space="preserve">  Рисунок 8. Примеры использования золотого сечения в искусстве</w:t>
      </w:r>
    </w:p>
    <w:p w:rsidR="00E42BFA" w:rsidRDefault="00AA548D">
      <w:pPr>
        <w:pStyle w:val="paragraphStyleText"/>
      </w:pPr>
      <w:r>
        <w:rPr>
          <w:rStyle w:val="fontStyleText"/>
        </w:rPr>
        <w:t>Золотое сечение в искусстве — это концепция, широко используемая для достижения гармонии и эстетического удовольствия. Применение этого математического соотношения позволяет художникам и архитекторам создавать произведения, которые воспринимаются как эстетически приятные и сбалансированные. Древние греки первыми начали осознавать важность этих пропорций в искусстве. Они использовали золотое сечение, чтобы разработать последовательности, которые позволяли создавать масштабные архитектурные сооружения, такие как Парфенон, стремясь довести внешнюю красоту своих построек до идеала [15].</w:t>
      </w:r>
    </w:p>
    <w:p w:rsidR="00E42BFA" w:rsidRDefault="00E42BFA">
      <w:pPr>
        <w:pStyle w:val="paragraphStyleText"/>
      </w:pPr>
    </w:p>
    <w:p w:rsidR="00E42BFA" w:rsidRDefault="00AA548D">
      <w:pPr>
        <w:pStyle w:val="paragraphStyleText"/>
      </w:pPr>
      <w:r>
        <w:rPr>
          <w:rStyle w:val="fontStyleText"/>
        </w:rPr>
        <w:t>В живописи художники применяют золотое сечение для создания композиций, которые привлекают взгляд и вызывают интерес. Например, когда художник делит холст на пропорции 3:5, он может провести линии в тех местах, где они будут пересекаться согласно принципам золотого сечения. Это позволяет выделить важные элементы картины и направить взгляд зрителя к центральным темам.</w:t>
      </w:r>
    </w:p>
    <w:p w:rsidR="00E42BFA" w:rsidRDefault="00E42BFA">
      <w:pPr>
        <w:pStyle w:val="paragraphStyleText"/>
      </w:pPr>
    </w:p>
    <w:p w:rsidR="00E42BFA" w:rsidRDefault="00AA548D">
      <w:pPr>
        <w:pStyle w:val="paragraphStyleText"/>
      </w:pPr>
      <w:r>
        <w:rPr>
          <w:rStyle w:val="fontStyleText"/>
        </w:rPr>
        <w:t>Леонардо да Винчи, известный итальянский художник и ученый, часто использовал золотое сечение в своих работах. Его картина "</w:t>
      </w:r>
      <w:proofErr w:type="spellStart"/>
      <w:r>
        <w:rPr>
          <w:rStyle w:val="fontStyleText"/>
        </w:rPr>
        <w:t>Мона</w:t>
      </w:r>
      <w:proofErr w:type="spellEnd"/>
      <w:r>
        <w:rPr>
          <w:rStyle w:val="fontStyleText"/>
        </w:rPr>
        <w:t xml:space="preserve"> Лиза" является ярким примером, где композиция и расположение фигур соотносятся с гармоничными пропорциями, что усиливает эмоциональное воздействие работы на зрителей [16]. Также картины других мастеров, </w:t>
      </w:r>
      <w:r>
        <w:rPr>
          <w:rStyle w:val="fontStyleText"/>
        </w:rPr>
        <w:lastRenderedPageBreak/>
        <w:t>таких как Боттичелли и Рафаэль, демонстрируют, как использование этих пропорций может создавать визуально привлекательные произведения.</w:t>
      </w:r>
    </w:p>
    <w:p w:rsidR="00E42BFA" w:rsidRDefault="00E42BFA">
      <w:pPr>
        <w:pStyle w:val="paragraphStyleText"/>
      </w:pPr>
    </w:p>
    <w:p w:rsidR="00E42BFA" w:rsidRDefault="00AA548D">
      <w:pPr>
        <w:pStyle w:val="paragraphStyleText"/>
      </w:pPr>
      <w:r>
        <w:rPr>
          <w:rStyle w:val="fontStyleText"/>
        </w:rPr>
        <w:t>Кроме живописи, золотое сечение нашло применение в архитектуре. С помощью этого соотношения строятся не только жилые дома и храмы, но и современные здания, где архитекторы стремятся создавать гармоничные формы и пропорции, которые легко воспринимаются человеком. Это наглядно демонстрирует, как математические концепции влияют на практическое применение в искусстве и дизайне.</w:t>
      </w:r>
    </w:p>
    <w:p w:rsidR="00E42BFA" w:rsidRDefault="00E42BFA">
      <w:pPr>
        <w:pStyle w:val="paragraphStyleText"/>
      </w:pPr>
    </w:p>
    <w:p w:rsidR="00E42BFA" w:rsidRDefault="00AA548D">
      <w:pPr>
        <w:pStyle w:val="paragraphStyleText"/>
      </w:pPr>
      <w:r>
        <w:rPr>
          <w:rStyle w:val="fontStyleText"/>
        </w:rPr>
        <w:t>В фотографии золотое сечение активно используется для компоновки кадра. Фотографы размещают ключевые элементы изображения вдоль линий, соответствующих пропорциям золотого сечения, что помогает создать баланс и динамику снимка. Эта методика позволяет обратить внимание на объектов, которые находятся в фокусе и создать общий визуальный поток, который приятно воспринимается зрителями.</w:t>
      </w:r>
    </w:p>
    <w:p w:rsidR="00E42BFA" w:rsidRDefault="00E42BFA">
      <w:pPr>
        <w:pStyle w:val="paragraphStyleText"/>
      </w:pPr>
    </w:p>
    <w:p w:rsidR="00E42BFA" w:rsidRDefault="00AA548D">
      <w:pPr>
        <w:pStyle w:val="paragraphStyleText"/>
      </w:pPr>
      <w:r>
        <w:rPr>
          <w:rStyle w:val="fontStyleText"/>
        </w:rPr>
        <w:t xml:space="preserve">Применение золотого сечения в современных художественных практиках не останавливается на традиционных формах искусства. В графическом дизайне, скульптуре и даже в создании </w:t>
      </w:r>
      <w:proofErr w:type="spellStart"/>
      <w:r>
        <w:rPr>
          <w:rStyle w:val="fontStyleText"/>
        </w:rPr>
        <w:t>анимаций</w:t>
      </w:r>
      <w:proofErr w:type="spellEnd"/>
      <w:r>
        <w:rPr>
          <w:rStyle w:val="fontStyleText"/>
        </w:rPr>
        <w:t xml:space="preserve"> художники часто используют эти принципы, чтобы добиться уникальности и выразительности. Это открывает новые горизонты для творчества и позволяет создавать работы, способные зацепить зрителя на более глубоком уровне.</w:t>
      </w:r>
    </w:p>
    <w:p w:rsidR="00E42BFA" w:rsidRDefault="00E42BFA">
      <w:pPr>
        <w:pStyle w:val="paragraphStyleText"/>
      </w:pPr>
    </w:p>
    <w:p w:rsidR="00E42BFA" w:rsidRDefault="00AA548D">
      <w:pPr>
        <w:pStyle w:val="paragraphStyleText"/>
      </w:pPr>
      <w:r>
        <w:rPr>
          <w:rStyle w:val="fontStyleText"/>
        </w:rPr>
        <w:t xml:space="preserve">Интересно, что золотое сечение также стало объектом изучения в психологии восприятия. Исследования показывают, что человеческий глаз склонен к восприятию гармоничных пропорций, что подтверждает успешность применения золотого сечения не только в искусстве, но и в </w:t>
      </w:r>
      <w:r>
        <w:rPr>
          <w:rStyle w:val="fontStyleText"/>
        </w:rPr>
        <w:lastRenderedPageBreak/>
        <w:t>других областях, таких как веб-дизайн или создание упаковки для товаров [17].</w:t>
      </w:r>
    </w:p>
    <w:p w:rsidR="00E42BFA" w:rsidRDefault="00E42BFA">
      <w:pPr>
        <w:pStyle w:val="paragraphStyleText"/>
      </w:pPr>
    </w:p>
    <w:p w:rsidR="00E42BFA" w:rsidRDefault="00AA548D">
      <w:pPr>
        <w:pStyle w:val="paragraphStyleText"/>
      </w:pPr>
      <w:r>
        <w:rPr>
          <w:rStyle w:val="fontStyleText"/>
        </w:rPr>
        <w:t>Таким образом, золотое сечение остается актуальным инструментом для многих художников и дизайнеров, стремящихся к созданию красивых и гармоничных произведений. Эстетическая ценность золотого сечения позволяет не просто улучшать визуальное восприятие, но и усиливать эмоциональную составляющую всех видов искусства, начиная от живописи и заканчивая современными цифровыми формами [18]. Интерес к этой концепции продолжает расти, что подчеркивает ее универсальность и значимость в процессе творческого самовыражения.</w:t>
      </w:r>
    </w:p>
    <w:p w:rsidR="00E42BFA" w:rsidRDefault="00E42BFA">
      <w:pPr>
        <w:sectPr w:rsidR="00E42BFA">
          <w:footerReference w:type="default" r:id="rId10"/>
          <w:pgSz w:w="11905" w:h="16837"/>
          <w:pgMar w:top="1440" w:right="1440" w:bottom="1440" w:left="1440" w:header="720" w:footer="720" w:gutter="0"/>
          <w:cols w:space="720"/>
        </w:sectPr>
      </w:pPr>
    </w:p>
    <w:p w:rsidR="00E42BFA" w:rsidRDefault="00AA548D">
      <w:pPr>
        <w:pStyle w:val="1"/>
      </w:pPr>
      <w:bookmarkStart w:id="6" w:name="_Toc6"/>
      <w:r>
        <w:lastRenderedPageBreak/>
        <w:t>Практические измерения роста и частей тела</w:t>
      </w:r>
      <w:bookmarkEnd w:id="6"/>
    </w:p>
    <w:p w:rsidR="00E42BFA" w:rsidRPr="00250E69" w:rsidRDefault="00AA548D">
      <w:pPr>
        <w:pStyle w:val="paragraphStyleText"/>
        <w:rPr>
          <w:b/>
        </w:rPr>
      </w:pPr>
      <w:r w:rsidRPr="00250E69">
        <w:rPr>
          <w:b/>
        </w:rPr>
        <w:t xml:space="preserve"> </w:t>
      </w:r>
      <w:r w:rsidRPr="00250E69">
        <w:rPr>
          <w:rStyle w:val="fontStyleText"/>
          <w:b/>
        </w:rPr>
        <w:t xml:space="preserve">  Рисунок 9. Схемы и примеры измерений для анализа пропорций тела по принципам золотого сечения.</w:t>
      </w:r>
    </w:p>
    <w:p w:rsidR="00E42BFA" w:rsidRPr="00250E69" w:rsidRDefault="00AA548D">
      <w:pPr>
        <w:pStyle w:val="paragraphStyleText"/>
        <w:rPr>
          <w:b/>
        </w:rPr>
      </w:pPr>
      <w:r w:rsidRPr="00250E69">
        <w:rPr>
          <w:b/>
        </w:rPr>
        <w:t xml:space="preserve"> </w:t>
      </w:r>
      <w:r w:rsidRPr="00250E69">
        <w:rPr>
          <w:rStyle w:val="fontStyleText"/>
          <w:b/>
        </w:rPr>
        <w:t xml:space="preserve">  Рисунок 10. Схемы и примеры измерений для анализа пропорций тела по принципам золотого сечения.</w:t>
      </w:r>
    </w:p>
    <w:p w:rsidR="00E42BFA" w:rsidRDefault="00AA548D">
      <w:pPr>
        <w:pStyle w:val="paragraphStyleText"/>
      </w:pPr>
      <w:r>
        <w:rPr>
          <w:rStyle w:val="fontStyleText"/>
        </w:rPr>
        <w:t xml:space="preserve">Изучая тело человека и его пропорции, можно заметить, что многие из них соответствуют принципам золотого сечения. Эта математическая пропорция, равная примерно 1,618, демонстрирует гармонию и баланс, что делает её привлекательной не только для дизайнеров и художников, но и для анатомов и врачей. В теле человека выражение золотого сечения проявляется в различных величинах и отношениях, что важно </w:t>
      </w:r>
      <w:proofErr w:type="gramStart"/>
      <w:r>
        <w:rPr>
          <w:rStyle w:val="fontStyleText"/>
        </w:rPr>
        <w:t>учитывать</w:t>
      </w:r>
      <w:proofErr w:type="gramEnd"/>
      <w:r>
        <w:rPr>
          <w:rStyle w:val="fontStyleText"/>
        </w:rPr>
        <w:t xml:space="preserve"> как в научной, так и в практической медицинской деятельности.</w:t>
      </w:r>
    </w:p>
    <w:p w:rsidR="00E42BFA" w:rsidRDefault="00E42BFA">
      <w:pPr>
        <w:pStyle w:val="paragraphStyleText"/>
      </w:pPr>
    </w:p>
    <w:p w:rsidR="00E42BFA" w:rsidRDefault="00AA548D">
      <w:pPr>
        <w:pStyle w:val="paragraphStyleText"/>
      </w:pPr>
      <w:r>
        <w:rPr>
          <w:rStyle w:val="fontStyleText"/>
        </w:rPr>
        <w:t xml:space="preserve">При расчете пропорций тела, например, отношение талии к бедрам у женщин часто стремится к 62%, но не превышает 70% [19]. Эта пропорция считается идеальной, и многие известные модели и актрисы подчеркивают свои фигуры именно с помощью таких соотношений. Также интересен фактор, что длина ног примерно равняется половине роста, что подтверждается многими анатомическими исследованиями [20]. Если использовать пупок в качестве центра для измерений роста, можно еще раз убедиться в соответствии </w:t>
      </w:r>
      <w:proofErr w:type="spellStart"/>
      <w:r>
        <w:rPr>
          <w:rStyle w:val="fontStyleText"/>
        </w:rPr>
        <w:t>нагружений</w:t>
      </w:r>
      <w:proofErr w:type="spellEnd"/>
      <w:r>
        <w:rPr>
          <w:rStyle w:val="fontStyleText"/>
        </w:rPr>
        <w:t>, где рост человека составляет 1,618 от расстояния от ступней до пупка [21].</w:t>
      </w:r>
    </w:p>
    <w:p w:rsidR="00E42BFA" w:rsidRDefault="00E42BFA">
      <w:pPr>
        <w:pStyle w:val="paragraphStyleText"/>
      </w:pPr>
    </w:p>
    <w:p w:rsidR="00E42BFA" w:rsidRDefault="00AA548D">
      <w:pPr>
        <w:pStyle w:val="paragraphStyleText"/>
      </w:pPr>
      <w:r>
        <w:rPr>
          <w:rStyle w:val="fontStyleText"/>
        </w:rPr>
        <w:t>Важно отметить и другие соотношения, такие как объем грудной клетки, который должен составлять половину роста женщины плюс 2,5 см. Это подчеркивает, как анатомия продолжает соответствовать гармоничным пропорциям, которые привлекают внимание не только медицинских специалистов, но и людей в целом. Также, например, длина шеи может составлять около 7% от общего роста [20].</w:t>
      </w:r>
    </w:p>
    <w:p w:rsidR="00E42BFA" w:rsidRDefault="00E42BFA">
      <w:pPr>
        <w:pStyle w:val="paragraphStyleText"/>
      </w:pPr>
    </w:p>
    <w:p w:rsidR="00E42BFA" w:rsidRDefault="00AA548D">
      <w:pPr>
        <w:pStyle w:val="paragraphStyleText"/>
      </w:pPr>
      <w:r>
        <w:rPr>
          <w:rStyle w:val="fontStyleText"/>
        </w:rPr>
        <w:t>Переходя к другим элементам тела, можно рассмотреть объем запястья и шеи. В идеале объем запястья равен двум величинам объема шеи, что подчеркивает симметрию и пропорциональность этой части анатомии [19]. Кроме того, еще одно точное соотношение касается расстояний между конечностями, например, от окончания пальцев до запястья, которое также может складываться в гармоничные пропорции [21].</w:t>
      </w:r>
    </w:p>
    <w:p w:rsidR="00E42BFA" w:rsidRDefault="00E42BFA">
      <w:pPr>
        <w:pStyle w:val="paragraphStyleText"/>
      </w:pPr>
    </w:p>
    <w:p w:rsidR="00E42BFA" w:rsidRDefault="00AA548D">
      <w:pPr>
        <w:pStyle w:val="paragraphStyleText"/>
      </w:pPr>
      <w:r>
        <w:rPr>
          <w:rStyle w:val="fontStyleText"/>
        </w:rPr>
        <w:t xml:space="preserve">Применение золотого сечения в области физической культуры и здоровья становится особенно интересным, когда мы начинаем доказывать его наличие не только в статике, но и в динамике. Например, идеальная форма тела для достижения высоких результатов в спорте часто зависит от физических характеристик, где соблюдение пропорций золотого сечения играет важную роль [13]. </w:t>
      </w:r>
    </w:p>
    <w:p w:rsidR="00E42BFA" w:rsidRDefault="00E42BFA">
      <w:pPr>
        <w:pStyle w:val="paragraphStyleText"/>
      </w:pPr>
    </w:p>
    <w:p w:rsidR="00E42BFA" w:rsidRDefault="00AA548D">
      <w:pPr>
        <w:pStyle w:val="paragraphStyleText"/>
      </w:pPr>
      <w:r>
        <w:rPr>
          <w:rStyle w:val="fontStyleText"/>
        </w:rPr>
        <w:t xml:space="preserve">Данные соотношения используются также для построения образовательных моделей и программ в области фитнеса и здоровья, позволяя достигать правильных результатов и повышать качество тренировок. Врачи, тренеры и диетологи все чаще обращаются к этому понятию, что подчеркивает его универсальность в различных сферах: от здоровья до эстетики [11]. </w:t>
      </w:r>
    </w:p>
    <w:p w:rsidR="00E42BFA" w:rsidRDefault="00E42BFA">
      <w:pPr>
        <w:pStyle w:val="paragraphStyleText"/>
      </w:pPr>
    </w:p>
    <w:p w:rsidR="00E42BFA" w:rsidRDefault="00AA548D">
      <w:pPr>
        <w:pStyle w:val="paragraphStyleText"/>
      </w:pPr>
      <w:r>
        <w:rPr>
          <w:rStyle w:val="fontStyleText"/>
        </w:rPr>
        <w:t>Золотое сечение, как функциональный и визуальный критерий, дает возможность не только устанавливать стандарты красоты, но и служит важным инструментом в различных практиках, направленных на улучшение здоровья и физической формы. Это явление продолжает оставаться актуальным и в научных исследованиях, поскольку способствует постоянному анализу и пониманию человеческого тела.</w:t>
      </w:r>
    </w:p>
    <w:p w:rsidR="00E42BFA" w:rsidRDefault="00E42BFA">
      <w:pPr>
        <w:sectPr w:rsidR="00E42BFA">
          <w:footerReference w:type="default" r:id="rId11"/>
          <w:pgSz w:w="11905" w:h="16837"/>
          <w:pgMar w:top="1440" w:right="1440" w:bottom="1440" w:left="1440" w:header="720" w:footer="720" w:gutter="0"/>
          <w:cols w:space="720"/>
        </w:sectPr>
      </w:pPr>
    </w:p>
    <w:p w:rsidR="00E42BFA" w:rsidRDefault="00AA548D">
      <w:pPr>
        <w:pStyle w:val="1"/>
      </w:pPr>
      <w:bookmarkStart w:id="7" w:name="_Toc7"/>
      <w:r>
        <w:lastRenderedPageBreak/>
        <w:t>Создание буклета о золотом сечении</w:t>
      </w:r>
      <w:bookmarkEnd w:id="7"/>
    </w:p>
    <w:p w:rsidR="00E42BFA" w:rsidRPr="00EB7A04" w:rsidRDefault="00AA548D">
      <w:pPr>
        <w:pStyle w:val="paragraphStyleText"/>
        <w:rPr>
          <w:b/>
        </w:rPr>
      </w:pPr>
      <w:r w:rsidRPr="00EB7A04">
        <w:rPr>
          <w:b/>
        </w:rPr>
        <w:t xml:space="preserve"> </w:t>
      </w:r>
      <w:r w:rsidRPr="00EB7A04">
        <w:rPr>
          <w:rStyle w:val="fontStyleText"/>
          <w:b/>
        </w:rPr>
        <w:t xml:space="preserve">  Рисунок 11. Примеры оформления буклетов для проекта о золотом сечении</w:t>
      </w:r>
    </w:p>
    <w:p w:rsidR="00E42BFA" w:rsidRPr="00EB7A04" w:rsidRDefault="00AA548D">
      <w:pPr>
        <w:pStyle w:val="paragraphStyleText"/>
        <w:rPr>
          <w:b/>
        </w:rPr>
      </w:pPr>
      <w:r w:rsidRPr="00EB7A04">
        <w:rPr>
          <w:b/>
        </w:rPr>
        <w:t xml:space="preserve"> </w:t>
      </w:r>
      <w:r w:rsidRPr="00EB7A04">
        <w:rPr>
          <w:rStyle w:val="fontStyleText"/>
          <w:b/>
        </w:rPr>
        <w:t xml:space="preserve">  Рисунок 12. Примеры оформления буклетов для проекта о золотом сечении</w:t>
      </w:r>
    </w:p>
    <w:p w:rsidR="00E42BFA" w:rsidRDefault="00AA548D">
      <w:pPr>
        <w:pStyle w:val="paragraphStyleText"/>
      </w:pPr>
      <w:r>
        <w:rPr>
          <w:rStyle w:val="fontStyleText"/>
        </w:rPr>
        <w:t>Создание буклета о золотом сечении — это увлекательный и познавательный процесс, который позволяет не только ознакомиться с одной из важнейших математических концепций, но и развивать креативные навыки. При создании буклета необходимо учитывать различные аспекты, которые помогут сделать его информативным и привлекательным для читателей.</w:t>
      </w:r>
    </w:p>
    <w:p w:rsidR="00E42BFA" w:rsidRDefault="00E42BFA">
      <w:pPr>
        <w:pStyle w:val="paragraphStyleText"/>
      </w:pPr>
    </w:p>
    <w:p w:rsidR="00E42BFA" w:rsidRDefault="00AA548D">
      <w:pPr>
        <w:pStyle w:val="paragraphStyleText"/>
      </w:pPr>
      <w:r>
        <w:rPr>
          <w:rStyle w:val="fontStyleText"/>
        </w:rPr>
        <w:t>Во-первых, важно определить цель буклета. Он может служить как учебным пособием, так и популяризировать знание о золотом сечении среди учащихся. Обязательно включите в буклет основные определения и свойства, связанные с этим понятием. Например, золотое сечение делит отрезок на две части так, что отношение всей длины отрезка к большей части равно отношению большей части к меньшей. Это отношение приближенно равно 1.618 и обозначается греческой буквой фи (φ) [22].</w:t>
      </w:r>
    </w:p>
    <w:p w:rsidR="00E42BFA" w:rsidRDefault="00E42BFA">
      <w:pPr>
        <w:pStyle w:val="paragraphStyleText"/>
      </w:pPr>
    </w:p>
    <w:p w:rsidR="00E42BFA" w:rsidRDefault="00AA548D">
      <w:pPr>
        <w:pStyle w:val="paragraphStyleText"/>
      </w:pPr>
      <w:r>
        <w:rPr>
          <w:rStyle w:val="fontStyleText"/>
        </w:rPr>
        <w:t>Второй аспект, который нельзя игнорировать, — это визуальная составляющая буклета. Эстетика играет важную роль в восприятии информации, поэтому стоит использовать графику и иллюстрации, которые помогут понять математические концепции более наглядно. Например, изображения золотых прямоугольников, схемы, объясняющие, как построить фигуры с золотым сечением, могут значительно обогатить содержимое буклета [23]. Кроме того, добавление интересных фактов о применении золотого сечения в искусстве и архитектуре сделает буклет более привлекательным.</w:t>
      </w:r>
    </w:p>
    <w:p w:rsidR="00E42BFA" w:rsidRDefault="00E42BFA">
      <w:pPr>
        <w:pStyle w:val="paragraphStyleText"/>
      </w:pPr>
    </w:p>
    <w:p w:rsidR="00E42BFA" w:rsidRDefault="00AA548D">
      <w:pPr>
        <w:pStyle w:val="paragraphStyleText"/>
      </w:pPr>
      <w:r>
        <w:rPr>
          <w:rStyle w:val="fontStyleText"/>
        </w:rPr>
        <w:t>Третий момент касается структуры буклета. Он должен быть логически выстроен, чтобы читатели могли легко усваивать информацию. Рекомендуется начать с определения, затем перейти к свойствам и математическим объяснениям, а в заключение добавить примеры применения золотого сечения в разных сферах, таких как природа, искусство и дизайн. Интересная форма подачи материала способствует лучшему его запоминанию, поэтому можно использовать метафоры и аналогии, чтобы сделать изложение более доступным [24].</w:t>
      </w:r>
    </w:p>
    <w:p w:rsidR="00E42BFA" w:rsidRDefault="00E42BFA">
      <w:pPr>
        <w:pStyle w:val="paragraphStyleText"/>
      </w:pPr>
    </w:p>
    <w:p w:rsidR="00E42BFA" w:rsidRDefault="00AA548D">
      <w:pPr>
        <w:pStyle w:val="paragraphStyleText"/>
      </w:pPr>
      <w:r>
        <w:rPr>
          <w:rStyle w:val="fontStyleText"/>
        </w:rPr>
        <w:t xml:space="preserve">Для тех, кто не имеет достаточного опыта в графическом дизайне, существуют различные онлайн-сервисы и шаблоны, которые значительно упростят процесс создания буклета. Эти инструменты позволят быстро и качественно разработать дизайн, соответствующий теме. Выбор шаблонов и возможность добавления необходимых элементов — важная часть работы, которая сэкономит время и силы [25]. </w:t>
      </w:r>
    </w:p>
    <w:p w:rsidR="00E42BFA" w:rsidRDefault="00E42BFA">
      <w:pPr>
        <w:pStyle w:val="paragraphStyleText"/>
      </w:pPr>
    </w:p>
    <w:p w:rsidR="00E42BFA" w:rsidRDefault="00AA548D">
      <w:pPr>
        <w:pStyle w:val="paragraphStyleText"/>
      </w:pPr>
      <w:r>
        <w:rPr>
          <w:rStyle w:val="fontStyleText"/>
        </w:rPr>
        <w:t xml:space="preserve">Не забывайте о целевой аудитории. Учебный буклет о золотом сечении, адресованный учащимся 7 класса, должен быть написан простым и понятным языком, избегая сложных терминов, которые могут сбить с толку. Интерактивные элементы, такие как QR-коды, которые ведут на </w:t>
      </w:r>
      <w:proofErr w:type="spellStart"/>
      <w:r>
        <w:rPr>
          <w:rStyle w:val="fontStyleText"/>
        </w:rPr>
        <w:t>видеоуроки</w:t>
      </w:r>
      <w:proofErr w:type="spellEnd"/>
      <w:r>
        <w:rPr>
          <w:rStyle w:val="fontStyleText"/>
        </w:rPr>
        <w:t xml:space="preserve"> или дополнительные материалы, также могут добавить ценности вашему продукту [26]. </w:t>
      </w:r>
    </w:p>
    <w:p w:rsidR="00E42BFA" w:rsidRDefault="00E42BFA">
      <w:pPr>
        <w:pStyle w:val="paragraphStyleText"/>
      </w:pPr>
    </w:p>
    <w:p w:rsidR="00E42BFA" w:rsidRDefault="00AA548D">
      <w:pPr>
        <w:pStyle w:val="paragraphStyleText"/>
      </w:pPr>
      <w:r>
        <w:rPr>
          <w:rStyle w:val="fontStyleText"/>
        </w:rPr>
        <w:t>В процессе создания буклета ученики могут работать в группах, что обеспечит обмен идеями и стимулирует сотрудничество. Такой подход не только улучшает понимание темы, но и развивает навыки командной работы, что важно в учебном процессе.</w:t>
      </w:r>
    </w:p>
    <w:p w:rsidR="00E42BFA" w:rsidRDefault="00E42BFA">
      <w:pPr>
        <w:pStyle w:val="paragraphStyleText"/>
      </w:pPr>
    </w:p>
    <w:p w:rsidR="00E42BFA" w:rsidRDefault="00AA548D">
      <w:pPr>
        <w:pStyle w:val="paragraphStyleText"/>
      </w:pPr>
      <w:r>
        <w:rPr>
          <w:rStyle w:val="fontStyleText"/>
        </w:rPr>
        <w:lastRenderedPageBreak/>
        <w:t xml:space="preserve">Завершив буклет, не забудьте проанализировать его эффективность. Полученные </w:t>
      </w:r>
      <w:proofErr w:type="spellStart"/>
      <w:r>
        <w:rPr>
          <w:rStyle w:val="fontStyleText"/>
        </w:rPr>
        <w:t>фидбеки</w:t>
      </w:r>
      <w:proofErr w:type="spellEnd"/>
      <w:r>
        <w:rPr>
          <w:rStyle w:val="fontStyleText"/>
        </w:rPr>
        <w:t xml:space="preserve"> от одноклассников или преподавателей помогут понять, насколько материал был усвоен и вызвал ли интерес. Этапы создания буклета можно использовать как дополнительный проект, который способствует более глубокой и осмысленной учебе, а изучение золотого сечения через практическое применение — это отличный способ развивать интерес к математике в целом.</w:t>
      </w:r>
    </w:p>
    <w:p w:rsidR="00E42BFA" w:rsidRDefault="00E42BFA">
      <w:pPr>
        <w:sectPr w:rsidR="00E42BFA">
          <w:footerReference w:type="default" r:id="rId12"/>
          <w:pgSz w:w="11905" w:h="16837"/>
          <w:pgMar w:top="1440" w:right="1440" w:bottom="1440" w:left="1440" w:header="720" w:footer="720" w:gutter="0"/>
          <w:cols w:space="720"/>
        </w:sectPr>
      </w:pPr>
    </w:p>
    <w:p w:rsidR="00E42BFA" w:rsidRDefault="00AA548D">
      <w:pPr>
        <w:pStyle w:val="1"/>
      </w:pPr>
      <w:bookmarkStart w:id="8" w:name="_Toc8"/>
      <w:r>
        <w:lastRenderedPageBreak/>
        <w:t>Презентация результатов исследования</w:t>
      </w:r>
      <w:bookmarkEnd w:id="8"/>
    </w:p>
    <w:p w:rsidR="00E42BFA" w:rsidRDefault="00AA548D">
      <w:pPr>
        <w:pStyle w:val="paragraphStyleText"/>
      </w:pPr>
      <w:r>
        <w:rPr>
          <w:rStyle w:val="fontStyleText"/>
        </w:rPr>
        <w:t>Для подготовки презентации результатов исследования о золотом сечении в 7 классе необходимо сосредоточиться на нескольких ключевых аспектах. Прежде всего, на начальных слайдах должно быть представлено общее введение в тему, где акцентируется ее актуальность. Это поможет слушателям понять, почему ваше исследование имеет значение и как оно может быть связано с их интересами.</w:t>
      </w:r>
    </w:p>
    <w:p w:rsidR="00E42BFA" w:rsidRDefault="00E42BFA">
      <w:pPr>
        <w:pStyle w:val="paragraphStyleText"/>
      </w:pPr>
    </w:p>
    <w:p w:rsidR="00E42BFA" w:rsidRDefault="00AA548D">
      <w:pPr>
        <w:pStyle w:val="paragraphStyleText"/>
      </w:pPr>
      <w:r>
        <w:rPr>
          <w:rStyle w:val="fontStyleText"/>
        </w:rPr>
        <w:t>Цели и задачи проекта также должны быть четко сформулированы. Уточните, какие именно аспекты золотого сечения были исследованы и какие гипотезы сформулированы в начале работы. Презентация должна включать информацию о проведенных экспериментах или аналитических работах, что придаст ей научный характер. Использование текстовых блоков и иллюстраций позволит вам более наглядно представить результаты ваших изысканий [27].</w:t>
      </w:r>
    </w:p>
    <w:p w:rsidR="00E42BFA" w:rsidRDefault="00E42BFA">
      <w:pPr>
        <w:pStyle w:val="paragraphStyleText"/>
      </w:pPr>
    </w:p>
    <w:p w:rsidR="00E42BFA" w:rsidRDefault="00AA548D">
      <w:pPr>
        <w:pStyle w:val="paragraphStyleText"/>
      </w:pPr>
      <w:r>
        <w:rPr>
          <w:rStyle w:val="fontStyleText"/>
        </w:rPr>
        <w:t>Важно уделить внимание структуре самой презентации. В процессе подготовки стоит разделить материал на логически завершенные части. Каждая часть должна представлять отдельный аспект вашего исследования, будь то научные теории, графики, диаграммы или примеры из практики. Лучше всего каждую часть иллюстрировать визуальными элементами, чтобы создать более яркий образ проекта [28].</w:t>
      </w:r>
    </w:p>
    <w:p w:rsidR="00E42BFA" w:rsidRDefault="00E42BFA">
      <w:pPr>
        <w:pStyle w:val="paragraphStyleText"/>
      </w:pPr>
    </w:p>
    <w:p w:rsidR="00E42BFA" w:rsidRDefault="00AA548D">
      <w:pPr>
        <w:pStyle w:val="paragraphStyleText"/>
      </w:pPr>
      <w:r>
        <w:rPr>
          <w:rStyle w:val="fontStyleText"/>
        </w:rPr>
        <w:t xml:space="preserve">При выборе графических материалов необходимо удостовериться, что они актуальны и соответствуют теме. Например, можно использовать изображение знаменитых объектов искусства или природы, где проявляется золотое сечение, такие как Древнегреческие храмы или Спираль Галактики. Исследования показывают, что визуальная </w:t>
      </w:r>
      <w:r>
        <w:rPr>
          <w:rStyle w:val="fontStyleText"/>
        </w:rPr>
        <w:lastRenderedPageBreak/>
        <w:t xml:space="preserve">информация значительно усиливает восприятие аудитории, помогая лучше усвоить представленный материал [29]. </w:t>
      </w:r>
    </w:p>
    <w:p w:rsidR="00E42BFA" w:rsidRDefault="00E42BFA">
      <w:pPr>
        <w:pStyle w:val="paragraphStyleText"/>
      </w:pPr>
    </w:p>
    <w:p w:rsidR="00E42BFA" w:rsidRDefault="00AA548D">
      <w:pPr>
        <w:pStyle w:val="paragraphStyleText"/>
      </w:pPr>
      <w:r>
        <w:rPr>
          <w:rStyle w:val="fontStyleText"/>
        </w:rPr>
        <w:t xml:space="preserve">Не забудьте о заключительной части презентации, в которой следует кратко подвести итоги исследования. Здесь можно обсудить, насколько подтверждались ваши гипотезы, и какие выводы можно сделать на основе проведенной работы. Важным аспектом является и рефлексия: что вы узнали нового, и какие аспекты требуют дальнейшего изучения. </w:t>
      </w:r>
    </w:p>
    <w:p w:rsidR="00E42BFA" w:rsidRDefault="00E42BFA">
      <w:pPr>
        <w:pStyle w:val="paragraphStyleText"/>
      </w:pPr>
    </w:p>
    <w:p w:rsidR="00E42BFA" w:rsidRDefault="00AA548D">
      <w:pPr>
        <w:pStyle w:val="paragraphStyleText"/>
      </w:pPr>
      <w:r>
        <w:rPr>
          <w:rStyle w:val="fontStyleText"/>
        </w:rPr>
        <w:t xml:space="preserve">Кроме того, элементы дизайна презентации играют не менее важную роль. Используйте согласованные цвета и шрифты, чтобы не перегружать слайды, что сделает вашу презентацию более профессиональной. Однозначно стоит применять правила компоновки для визуальных материалов, чтобы все элементы были расположены гармонично [30]. </w:t>
      </w:r>
    </w:p>
    <w:p w:rsidR="00E42BFA" w:rsidRDefault="00E42BFA">
      <w:pPr>
        <w:pStyle w:val="paragraphStyleText"/>
      </w:pPr>
    </w:p>
    <w:p w:rsidR="00E42BFA" w:rsidRDefault="00AA548D">
      <w:pPr>
        <w:pStyle w:val="paragraphStyleText"/>
      </w:pPr>
      <w:r>
        <w:rPr>
          <w:rStyle w:val="fontStyleText"/>
        </w:rPr>
        <w:t xml:space="preserve">Помните, что ключевое внимание должно оставаться на содержании вашего исследования, и презентация должна быть лишь вспомогательным инструментом для поддержки вашего доклада. Запоминайте, что ваша речь это наиболее важный аспект защиты; презентация же должна лишь подчеркивать и дополнять ваши слова [31]. </w:t>
      </w:r>
    </w:p>
    <w:p w:rsidR="00E42BFA" w:rsidRDefault="00E42BFA">
      <w:pPr>
        <w:pStyle w:val="paragraphStyleText"/>
      </w:pPr>
    </w:p>
    <w:p w:rsidR="00E42BFA" w:rsidRDefault="00AA548D">
      <w:pPr>
        <w:pStyle w:val="paragraphStyleText"/>
      </w:pPr>
      <w:r>
        <w:rPr>
          <w:rStyle w:val="fontStyleText"/>
        </w:rPr>
        <w:t>Завершая подготовку, следует просмотреть презентацию на предмет понимания логики изложения. Убедитесь, что все слайды хорошо читаются, а текст не содержит явных грамматических ошибок. Подготовка к защите включает не только саму презентацию, но и уверенность в своих знаниях по теме. Таким образом, хорошая подготовка создаст сильное первое впечатление и поможет вам успешно представить свое исследование о золотом сечении [27].</w:t>
      </w:r>
    </w:p>
    <w:p w:rsidR="00E42BFA" w:rsidRDefault="00E42BFA">
      <w:pPr>
        <w:sectPr w:rsidR="00E42BFA">
          <w:footerReference w:type="default" r:id="rId13"/>
          <w:pgSz w:w="11905" w:h="16837"/>
          <w:pgMar w:top="1440" w:right="1440" w:bottom="1440" w:left="1440" w:header="720" w:footer="720" w:gutter="0"/>
          <w:cols w:space="720"/>
        </w:sectPr>
      </w:pPr>
    </w:p>
    <w:p w:rsidR="00E42BFA" w:rsidRDefault="00AA548D">
      <w:pPr>
        <w:pStyle w:val="1"/>
      </w:pPr>
      <w:bookmarkStart w:id="9" w:name="_Toc9"/>
      <w:r>
        <w:lastRenderedPageBreak/>
        <w:t>Заключение</w:t>
      </w:r>
      <w:bookmarkEnd w:id="9"/>
    </w:p>
    <w:p w:rsidR="00E42BFA" w:rsidRDefault="00AA548D">
      <w:pPr>
        <w:pStyle w:val="paragraphStyleText"/>
      </w:pPr>
      <w:r>
        <w:rPr>
          <w:rStyle w:val="fontStyleText"/>
        </w:rPr>
        <w:t>Заключение работы над проектом "Золотое сечение в 7 классе" подводит итоги нашего исследования и практического применения концепции золотого сечения, которое является не только важным математическим понятием, но и универсальным принципом, пронизывающим множество аспектов нашей жизни. В ходе работы мы смогли глубже понять, что такое золотое сечение, его математическую основу и его проявления в окружающем мире, что, безусловно, обогатило наш образовательный опыт.</w:t>
      </w:r>
    </w:p>
    <w:p w:rsidR="00E42BFA" w:rsidRDefault="00E42BFA">
      <w:pPr>
        <w:pStyle w:val="paragraphStyleText"/>
      </w:pPr>
    </w:p>
    <w:p w:rsidR="00E42BFA" w:rsidRDefault="00AA548D">
      <w:pPr>
        <w:pStyle w:val="paragraphStyleText"/>
      </w:pPr>
      <w:r>
        <w:rPr>
          <w:rStyle w:val="fontStyleText"/>
        </w:rPr>
        <w:t>Первым шагом в нашем проекте стало изучение определения и математической основы золотого сечения. Мы узнали, что это особая пропорция, которая равна примерно 1.6180339887, и обозначается греческой буквой φ (фи). Эта пропорция возникает, когда отношение всей длины отрезка к большей его части равно отношению большей части к меньшей. Золотое сечение находит свое применение не только в математике, но и в различных областях, таких как архитектура, искусство и даже в природе. Мы рассмотрели, как эта пропорция используется для создания гармоничных и эстетически привлекательных объектов, что позволяет нам лучше понять, как математика и искусство переплетаются в нашем мире.</w:t>
      </w:r>
    </w:p>
    <w:p w:rsidR="00E42BFA" w:rsidRDefault="00E42BFA">
      <w:pPr>
        <w:pStyle w:val="paragraphStyleText"/>
      </w:pPr>
    </w:p>
    <w:p w:rsidR="00E42BFA" w:rsidRDefault="00AA548D">
      <w:pPr>
        <w:pStyle w:val="paragraphStyleText"/>
      </w:pPr>
      <w:r>
        <w:rPr>
          <w:rStyle w:val="fontStyleText"/>
        </w:rPr>
        <w:t xml:space="preserve">Следующим важным аспектом нашего исследования стали золотые фигуры, такие как золотые треугольники и золотые прямоугольники. Мы изучили их свойства и особенности, а также провели практические занятия, на которых смогли самостоятельно построить эти фигуры. Это позволило нам не только закрепить теоретические знания, но и развить пространственное мышление, что является важным навыком для изучения математики. Мы также обсудили, как золотые фигуры могут быть </w:t>
      </w:r>
      <w:r>
        <w:rPr>
          <w:rStyle w:val="fontStyleText"/>
        </w:rPr>
        <w:lastRenderedPageBreak/>
        <w:t>использованы в дизайне и архитектуре, что дало нам возможность увидеть практическое применение изучаемого материала.</w:t>
      </w:r>
    </w:p>
    <w:p w:rsidR="00E42BFA" w:rsidRDefault="00E42BFA">
      <w:pPr>
        <w:pStyle w:val="paragraphStyleText"/>
      </w:pPr>
    </w:p>
    <w:p w:rsidR="00E42BFA" w:rsidRDefault="00AA548D">
      <w:pPr>
        <w:pStyle w:val="paragraphStyleText"/>
      </w:pPr>
      <w:r>
        <w:rPr>
          <w:rStyle w:val="fontStyleText"/>
        </w:rPr>
        <w:t>Одним из наиболее увлекательных этапов нашего проекта стало исследование применения золотого сечения в природе. Мы обнаружили, что многие природные формы, такие как спирали раковин, расположение листьев на стебле и даже пропорции человеческого тела, подчиняются законам золотого сечения. Это открытие стало для нас настоящим откровением, так как мы поняли, что математика не является чем-то абстрактным, а, напротив, является основой, на которой строится вся жизнь на Земле. Мы провели практические измерения роста и частей тела у одноклассников, что позволило нам увидеть, как золотое сечение проявляется в нашем собственном теле. Эти измерения не только подтвердили теоретические знания, но и сделали процесс обучения более интерактивным и увлекательным.</w:t>
      </w:r>
    </w:p>
    <w:p w:rsidR="00E42BFA" w:rsidRDefault="00E42BFA">
      <w:pPr>
        <w:pStyle w:val="paragraphStyleText"/>
      </w:pPr>
    </w:p>
    <w:p w:rsidR="00E42BFA" w:rsidRDefault="00AA548D">
      <w:pPr>
        <w:pStyle w:val="paragraphStyleText"/>
      </w:pPr>
      <w:r>
        <w:rPr>
          <w:rStyle w:val="fontStyleText"/>
        </w:rPr>
        <w:t>Создание буклета о золотом сечении стало еще одним важным этапом нашего проекта. Мы собрали информацию о золотом сечении, его истории, примерах из природы и искусства, а также о его математических свойствах. Этот буклет стал не только итогом нашей работы, но и полезным ресурсом для других учащихся, которые могут использовать его для изучения этой интересной темы. Мы также подготовили презентацию, в которой представили результаты нашего исследования. Это дало нам возможность развить навыки публичного выступления и научиться четко и доступно излагать свои мысли.</w:t>
      </w:r>
    </w:p>
    <w:p w:rsidR="00E42BFA" w:rsidRDefault="00E42BFA">
      <w:pPr>
        <w:pStyle w:val="paragraphStyleText"/>
      </w:pPr>
    </w:p>
    <w:p w:rsidR="00E42BFA" w:rsidRDefault="00AA548D">
      <w:pPr>
        <w:pStyle w:val="paragraphStyleText"/>
      </w:pPr>
      <w:r>
        <w:rPr>
          <w:rStyle w:val="fontStyleText"/>
        </w:rPr>
        <w:t xml:space="preserve">В заключение, проект "Золотое сечение в 7 классе" стал для нас не только возможностью изучить важную математическую концепцию, но и способом увидеть, как математика пронизывает все аспекты нашей жизни. </w:t>
      </w:r>
      <w:r>
        <w:rPr>
          <w:rStyle w:val="fontStyleText"/>
        </w:rPr>
        <w:lastRenderedPageBreak/>
        <w:t>Мы научились анализировать пропорции в окружающем мире, что, безусловно, обогатило наше понимание как математики, так и искусства. Мы уверены, что полученные знания будут полезны нам в будущем, и надеемся, что наш проект вдохновит других учащихся на изучение золотого сечения и его применения в различных областях.</w:t>
      </w:r>
    </w:p>
    <w:p w:rsidR="00E42BFA" w:rsidRDefault="00E42BFA">
      <w:pPr>
        <w:sectPr w:rsidR="00E42BFA">
          <w:footerReference w:type="default" r:id="rId14"/>
          <w:pgSz w:w="11905" w:h="16837"/>
          <w:pgMar w:top="1440" w:right="1440" w:bottom="1440" w:left="1440" w:header="720" w:footer="720" w:gutter="0"/>
          <w:cols w:space="720"/>
        </w:sectPr>
      </w:pPr>
    </w:p>
    <w:p w:rsidR="00E42BFA" w:rsidRDefault="00AA548D">
      <w:pPr>
        <w:pStyle w:val="1"/>
      </w:pPr>
      <w:bookmarkStart w:id="10" w:name="_Toc10"/>
      <w:r>
        <w:lastRenderedPageBreak/>
        <w:t>Список литературы</w:t>
      </w:r>
      <w:bookmarkEnd w:id="10"/>
    </w:p>
    <w:p w:rsidR="00E42BFA" w:rsidRDefault="00AA548D">
      <w:pPr>
        <w:pStyle w:val="paragraphStyleText"/>
      </w:pPr>
      <w:r>
        <w:rPr>
          <w:rStyle w:val="fontStyleText"/>
        </w:rPr>
        <w:t xml:space="preserve">1. Золотое сечение — Википедия [Электронный ресурс] // ru.wikipedia.org - Режим доступа: https://ru.wikipedia.org/wiki/золотое_сечение,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2. Научная работа на тему: "Золотое сечение в математике" [Электронный ресурс] // infourok.ru - Режим доступа: https://infourok.ru/nauchnaya-rabota-na-temu-zolotoe-sechenie-v-matematike-456016.html,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3. Золотое сечение: применение правила [Электронный ресурс] // gb.ru - Режим доступа: https://gb.ru/blog/zolotoe-sechenie/,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4. Золотое сечение: почему все во вселенной построено... | Дзен [Электронный ресурс] // dzen.ru - Режим доступа: https://dzen.ru/a/zi9fvwumfhqbitzj,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5. Факир математики: Золотое сечение / </w:t>
      </w:r>
      <w:proofErr w:type="spellStart"/>
      <w:r>
        <w:rPr>
          <w:rStyle w:val="fontStyleText"/>
        </w:rPr>
        <w:t>Хабр</w:t>
      </w:r>
      <w:proofErr w:type="spellEnd"/>
      <w:r>
        <w:rPr>
          <w:rStyle w:val="fontStyleText"/>
        </w:rPr>
        <w:t xml:space="preserve"> [Электронный ресурс] // habr.com - Режим доступа: https://habr.com/ru/articles/775736/,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6. Картинки по запросу "золотой треугольник и золотой прямоугольник" [Электронный ресурс] // yandex.ru - Режим доступа: https://yandex.ru/images/search?text=золотой треугольник и золотой прямоугольник,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7. Исследование золотых фигур — Открытый урок [Электронный ресурс] // urok.1sept.ru - Режим доступа: https://urok.1sept.ru/articles/653727,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8. Золотое сечение - </w:t>
      </w:r>
      <w:proofErr w:type="spellStart"/>
      <w:r>
        <w:rPr>
          <w:rStyle w:val="fontStyleText"/>
        </w:rPr>
        <w:t>Golden</w:t>
      </w:r>
      <w:proofErr w:type="spellEnd"/>
      <w:r>
        <w:rPr>
          <w:rStyle w:val="fontStyleText"/>
        </w:rPr>
        <w:t xml:space="preserve"> </w:t>
      </w:r>
      <w:proofErr w:type="spellStart"/>
      <w:r>
        <w:rPr>
          <w:rStyle w:val="fontStyleText"/>
        </w:rPr>
        <w:t>ratio</w:t>
      </w:r>
      <w:proofErr w:type="spellEnd"/>
      <w:r>
        <w:rPr>
          <w:rStyle w:val="fontStyleText"/>
        </w:rPr>
        <w:t xml:space="preserve"> - Википедия [Электронный ресурс] // tr-page.yandex.ru - Режим доступа: https://tr-page.yandex.ru/translate?lang=en-ru&amp;amp;url=https://en.wikipedia.org/wiki/golden_ratio,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lastRenderedPageBreak/>
        <w:t xml:space="preserve">9. История золотого сечения [Электронный ресурс] // genius.pstu.ru - Режим доступа: http://genius.pstu.ru/file.php/1/pupils_works_2012/trenogina_darja.pdf,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10. Урок 8. Золотой прямоугольник. Золотой треугольник. [Электронный ресурс] // infourok.ru - Режим доступа: https://infourok.ru/urok-zolotoy-pryamougolnik-zolotoy-treugolnik-speckurs-matematika-zolotogo-secheniya-1822410.html,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11. 14 Интересных примеров Золотого сечения в Природе... [Электронный ресурс] // tr-page.yandex.ru - Режим доступа: https://tr-page.yandex.ru/translate?lang=en-ru&amp;amp;url=https://www.geeksforgeeks.org/14-interesting-examples-of-the-golden-ratio-in-nature/,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12. Золотое сечение в природе [Электронный ресурс] // school-science.ru - Режим доступа: https://school-science.ru/8/7/41428,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13. Золотое сечение: что это, пропорции, примеры | РБК </w:t>
      </w:r>
      <w:proofErr w:type="spellStart"/>
      <w:r>
        <w:rPr>
          <w:rStyle w:val="fontStyleText"/>
        </w:rPr>
        <w:t>Life</w:t>
      </w:r>
      <w:proofErr w:type="spellEnd"/>
      <w:r>
        <w:rPr>
          <w:rStyle w:val="fontStyleText"/>
        </w:rPr>
        <w:t xml:space="preserve"> [Электронный ресурс] // www.rbc.ru - Режим доступа: https://www.rbc.ru/life/news/666ffff89a7947aa97618ae2,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14. "Золотое сечение" в живой природе | Образовательная... [Электронный ресурс] // nsportal.ru - Режим доступа: https://nsportal.ru/ap/library/drugoe/2014/06/03/zolotoe-sechenie-v-zhivoy-prirode,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15. Золотое Сечение в Искусстве (Живописи) Основы Композиции... [Электронный ресурс] // izokurs.ru - Режим доступа: https://izokurs.ru/blog/zolotoe-sechenie-v-iskusstve-formula-sovershenstva/,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lastRenderedPageBreak/>
        <w:t xml:space="preserve">16. Искусство математики: как художники использовали золотое... [Электронный ресурс] // dzen.ru - Режим доступа: https://dzen.ru/a/zk0-ov0wvvha7hpt,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17. Картинки по запросу "золотое сечение в искусстве" [Электронный ресурс] // yandex.ru - Режим доступа: https://yandex.ru/images/search?text=золотое сечение в искусстве,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18. Творческий проект ЗОЛОТОЕ СЕЧЕНИЕ В ИСКУССТВЕ [Электронный ресурс] // nsportal.ru - Режим доступа: https://nsportal.ru/ap/library/drugoe/2020/11/02/tvorcheskiy-proekt-zolotoe-sechenie-v-iskusstve,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19. Золотое сечение в теле человека: что это такое и как понять... [Электронный ресурс] // www.championat.com - Режим доступа: https://www.championat.com/lifestyle/article-5159079-zolotoe-sechenie-v-tele-cheloveka-chto-eto-takoe-i-kak-ponyat-chto-tvoya-vneshnost-daleka-ot-idealnyh-proporcij.html,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20. Золотое сечение пропорция тела человека женщины, мужчины... [Электронный ресурс] /</w:t>
      </w:r>
      <w:proofErr w:type="gramStart"/>
      <w:r>
        <w:rPr>
          <w:rStyle w:val="fontStyleText"/>
        </w:rPr>
        <w:t>/  -</w:t>
      </w:r>
      <w:proofErr w:type="gramEnd"/>
      <w:r>
        <w:rPr>
          <w:rStyle w:val="fontStyleText"/>
        </w:rPr>
        <w:t xml:space="preserve"> Режим доступа: ,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21. Золотое сечение представляет собой совершенные пропорции... [Электронный ресурс] // nlo-mir.ru - Режим доступа: https://nlo-mir.ru/chudesa-nauki/zolotoe-sechenie.html,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22. Проект по математике создание буклета «умножение... [Электронный ресурс] // nsportal.ru - Режим доступа: https://nsportal.ru/ap/library/drugoe/2013/04/08/proekt-po-matematike-sozdanie-bukleta-umnozhenie-eto-interesno,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23. Буклет-</w:t>
      </w:r>
      <w:proofErr w:type="spellStart"/>
      <w:r>
        <w:rPr>
          <w:rStyle w:val="fontStyleText"/>
        </w:rPr>
        <w:t>помогайка</w:t>
      </w:r>
      <w:proofErr w:type="spellEnd"/>
      <w:r>
        <w:rPr>
          <w:rStyle w:val="fontStyleText"/>
        </w:rPr>
        <w:t xml:space="preserve"> для учащихся начальных классов "Решение..." [Электронный ресурс] /</w:t>
      </w:r>
      <w:proofErr w:type="gramStart"/>
      <w:r>
        <w:rPr>
          <w:rStyle w:val="fontStyleText"/>
        </w:rPr>
        <w:t>/  -</w:t>
      </w:r>
      <w:proofErr w:type="gramEnd"/>
      <w:r>
        <w:rPr>
          <w:rStyle w:val="fontStyleText"/>
        </w:rPr>
        <w:t xml:space="preserve"> Режим доступа: ,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lastRenderedPageBreak/>
        <w:t xml:space="preserve">24. Создать буклет онлайн | Сделать буклет бесплатно | </w:t>
      </w:r>
      <w:proofErr w:type="spellStart"/>
      <w:r>
        <w:rPr>
          <w:rStyle w:val="fontStyleText"/>
        </w:rPr>
        <w:t>Visme</w:t>
      </w:r>
      <w:proofErr w:type="spellEnd"/>
      <w:r>
        <w:rPr>
          <w:rStyle w:val="fontStyleText"/>
        </w:rPr>
        <w:t xml:space="preserve"> [Электронный ресурс] // www.visme.co - Режим доступа: https://www.visme.co/ru/sozdat-buklet/,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25. Бесплатное приложение для создания брошюр [Электронный ресурс] // online.visual-paradigm.com - Режим доступа: https://online.visual-paradigm.com/ru/infoart/solutions/free-brochure-maker/,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26. Конструктор буклетов онлайн [Электронный ресурс] // maketron.ru - Режим доступа: https://maketron.ru/konstruktor-bukletov,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27. Как подготовить презентацию для защиты проектной... [Электронный ресурс] // infourok.ru - Режим доступа: https://infourok.ru/kak-podgotovit-prezentaciyu-dlya-zaschiti-proektnoy-ili-issledovatelskoy-raboti-shkolnikov-837199.html,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28. Правила оформления презентации проекта | </w:t>
      </w:r>
      <w:proofErr w:type="spellStart"/>
      <w:r>
        <w:rPr>
          <w:rStyle w:val="fontStyleText"/>
        </w:rPr>
        <w:t>Обучонок</w:t>
      </w:r>
      <w:proofErr w:type="spellEnd"/>
      <w:r>
        <w:rPr>
          <w:rStyle w:val="fontStyleText"/>
        </w:rPr>
        <w:t xml:space="preserve"> [Электронный ресурс] // obuchonok.ru - Режим доступа: https://obuchonok.ru/node/5826,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29. Презентация для защиты проектной работы: оформление, план... [Электронный ресурс] // zaochnik.ru - Режим доступа: https://zaochnik.ru/blog/kak-sdelat-prezentatsiju-dlja-proektnoj-raboty/,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pPr>
      <w:r>
        <w:rPr>
          <w:rStyle w:val="fontStyleText"/>
        </w:rPr>
        <w:t xml:space="preserve">30. Памятки по оформлению работы и подготовке презентации к </w:t>
      </w:r>
      <w:proofErr w:type="spellStart"/>
      <w:r>
        <w:rPr>
          <w:rStyle w:val="fontStyleText"/>
        </w:rPr>
        <w:t>нпк</w:t>
      </w:r>
      <w:proofErr w:type="spellEnd"/>
      <w:r>
        <w:rPr>
          <w:rStyle w:val="fontStyleText"/>
        </w:rPr>
        <w:t xml:space="preserve"> [Электронный ресурс] // nsportal.ru - Режим доступа: https://nsportal.ru/shkola/raznoe/library/2019/11/18/pamyatki-po-oformleniyu-raboty-i-podgotovke-prezentatsii-k-npk,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E42BFA" w:rsidRDefault="00AA548D">
      <w:pPr>
        <w:pStyle w:val="paragraphStyleText"/>
        <w:rPr>
          <w:rStyle w:val="fontStyleText"/>
        </w:rPr>
      </w:pPr>
      <w:r>
        <w:rPr>
          <w:rStyle w:val="fontStyleText"/>
        </w:rPr>
        <w:t xml:space="preserve">31. </w:t>
      </w:r>
      <w:proofErr w:type="spellStart"/>
      <w:r>
        <w:rPr>
          <w:rStyle w:val="fontStyleText"/>
        </w:rPr>
        <w:t>готовимся_к_конкурсу</w:t>
      </w:r>
      <w:proofErr w:type="spellEnd"/>
      <w:r>
        <w:rPr>
          <w:rStyle w:val="fontStyleText"/>
        </w:rPr>
        <w:t xml:space="preserve"> Структура научно-исследовательской... [Электронный ресурс] // vk.com - Режим доступа: https://vk.com/wall-206120733_727, свободный. - </w:t>
      </w:r>
      <w:proofErr w:type="spellStart"/>
      <w:r>
        <w:rPr>
          <w:rStyle w:val="fontStyleText"/>
        </w:rPr>
        <w:t>Загл</w:t>
      </w:r>
      <w:proofErr w:type="spellEnd"/>
      <w:proofErr w:type="gramStart"/>
      <w:r>
        <w:rPr>
          <w:rStyle w:val="fontStyleText"/>
        </w:rPr>
        <w:t>. с</w:t>
      </w:r>
      <w:proofErr w:type="gramEnd"/>
      <w:r>
        <w:rPr>
          <w:rStyle w:val="fontStyleText"/>
        </w:rPr>
        <w:t xml:space="preserve"> экрана</w:t>
      </w:r>
    </w:p>
    <w:p w:rsidR="00250E69" w:rsidRDefault="00250E69">
      <w:pPr>
        <w:pStyle w:val="paragraphStyleText"/>
        <w:rPr>
          <w:rStyle w:val="fontStyleText"/>
        </w:rPr>
      </w:pPr>
    </w:p>
    <w:p w:rsidR="00250E69" w:rsidRPr="00250E69" w:rsidRDefault="00250E69">
      <w:pPr>
        <w:pStyle w:val="paragraphStyleText"/>
        <w:rPr>
          <w:rStyle w:val="fontStyleText"/>
          <w:b/>
        </w:rPr>
      </w:pPr>
      <w:r w:rsidRPr="00250E69">
        <w:rPr>
          <w:rStyle w:val="fontStyleText"/>
          <w:b/>
        </w:rPr>
        <w:lastRenderedPageBreak/>
        <w:t xml:space="preserve">Приложение </w:t>
      </w:r>
    </w:p>
    <w:p w:rsidR="00250E69" w:rsidRDefault="00250E69" w:rsidP="00250E69">
      <w:pPr>
        <w:pStyle w:val="1"/>
      </w:pPr>
      <w:r>
        <w:t>Определение и математическая основа золотого сечения</w:t>
      </w:r>
    </w:p>
    <w:p w:rsidR="00250E69" w:rsidRDefault="00250E69" w:rsidP="00250E69">
      <w:pPr>
        <w:pStyle w:val="paragraphStyleText"/>
      </w:pPr>
      <w:r>
        <w:t xml:space="preserve"> </w:t>
      </w:r>
      <w:r>
        <w:rPr>
          <w:noProof/>
        </w:rPr>
        <w:drawing>
          <wp:inline distT="0" distB="0" distL="0" distR="0">
            <wp:extent cx="5715000" cy="33337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15000" cy="3333750"/>
                    </a:xfrm>
                    <a:prstGeom prst="rect">
                      <a:avLst/>
                    </a:prstGeom>
                    <a:noFill/>
                    <a:ln>
                      <a:noFill/>
                    </a:ln>
                  </pic:spPr>
                </pic:pic>
              </a:graphicData>
            </a:graphic>
          </wp:inline>
        </w:drawing>
      </w:r>
      <w:r>
        <w:rPr>
          <w:rStyle w:val="fontStyleText"/>
        </w:rPr>
        <w:t xml:space="preserve">  Рисунок 1. Определение и примеры золотого сечения в геометрии</w:t>
      </w:r>
    </w:p>
    <w:p w:rsidR="00250E69" w:rsidRDefault="00250E69">
      <w:pPr>
        <w:pStyle w:val="paragraphStyleText"/>
        <w:rPr>
          <w:rStyle w:val="fontStyleText"/>
        </w:rPr>
      </w:pPr>
      <w:r>
        <w:rPr>
          <w:noProof/>
        </w:rPr>
        <w:drawing>
          <wp:inline distT="0" distB="0" distL="0" distR="0">
            <wp:extent cx="5715000" cy="36957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15000" cy="3695700"/>
                    </a:xfrm>
                    <a:prstGeom prst="rect">
                      <a:avLst/>
                    </a:prstGeom>
                    <a:noFill/>
                    <a:ln>
                      <a:noFill/>
                    </a:ln>
                  </pic:spPr>
                </pic:pic>
              </a:graphicData>
            </a:graphic>
          </wp:inline>
        </w:drawing>
      </w:r>
      <w:r>
        <w:rPr>
          <w:rStyle w:val="fontStyleText"/>
        </w:rPr>
        <w:t xml:space="preserve">  Рисунок 2. Определение и примеры золотого сечения в геометрии</w:t>
      </w:r>
    </w:p>
    <w:p w:rsidR="00250E69" w:rsidRDefault="00250E69">
      <w:pPr>
        <w:pStyle w:val="paragraphStyleText"/>
        <w:rPr>
          <w:rStyle w:val="fontStyleText"/>
        </w:rPr>
      </w:pPr>
    </w:p>
    <w:p w:rsidR="00250E69" w:rsidRDefault="00250E69" w:rsidP="00250E69">
      <w:pPr>
        <w:pStyle w:val="1"/>
      </w:pPr>
      <w:r>
        <w:lastRenderedPageBreak/>
        <w:t>Золотые фигуры: треугольники и прямоугольники</w:t>
      </w:r>
    </w:p>
    <w:p w:rsidR="00250E69" w:rsidRDefault="00250E69" w:rsidP="00250E69">
      <w:pPr>
        <w:pStyle w:val="paragraphStyleText"/>
      </w:pPr>
      <w:r>
        <w:t xml:space="preserve"> </w:t>
      </w:r>
      <w:r>
        <w:rPr>
          <w:noProof/>
        </w:rPr>
        <w:drawing>
          <wp:inline distT="0" distB="0" distL="0" distR="0">
            <wp:extent cx="5715000" cy="25527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15000" cy="2552700"/>
                    </a:xfrm>
                    <a:prstGeom prst="rect">
                      <a:avLst/>
                    </a:prstGeom>
                    <a:noFill/>
                    <a:ln>
                      <a:noFill/>
                    </a:ln>
                  </pic:spPr>
                </pic:pic>
              </a:graphicData>
            </a:graphic>
          </wp:inline>
        </w:drawing>
      </w:r>
      <w:r>
        <w:rPr>
          <w:rStyle w:val="fontStyleText"/>
        </w:rPr>
        <w:t xml:space="preserve">  Рисунок 3. Схемы золотого треугольника и золотого прямоугольника</w:t>
      </w:r>
    </w:p>
    <w:p w:rsidR="00250E69" w:rsidRDefault="00250E69" w:rsidP="00250E69">
      <w:pPr>
        <w:pStyle w:val="paragraphStyleText"/>
        <w:rPr>
          <w:rStyle w:val="fontStyleText"/>
        </w:rPr>
      </w:pPr>
      <w:r>
        <w:t xml:space="preserve"> </w:t>
      </w:r>
      <w:r>
        <w:rPr>
          <w:noProof/>
        </w:rPr>
        <w:drawing>
          <wp:inline distT="0" distB="0" distL="0" distR="0">
            <wp:extent cx="5715000" cy="42862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15000" cy="4286250"/>
                    </a:xfrm>
                    <a:prstGeom prst="rect">
                      <a:avLst/>
                    </a:prstGeom>
                    <a:noFill/>
                    <a:ln>
                      <a:noFill/>
                    </a:ln>
                  </pic:spPr>
                </pic:pic>
              </a:graphicData>
            </a:graphic>
          </wp:inline>
        </w:drawing>
      </w:r>
      <w:r>
        <w:rPr>
          <w:rStyle w:val="fontStyleText"/>
        </w:rPr>
        <w:t xml:space="preserve">  Рисунок 4. Схемы золотого треугольника и золотого прямоугольника</w:t>
      </w:r>
    </w:p>
    <w:p w:rsidR="00250E69" w:rsidRDefault="00250E69" w:rsidP="00250E69">
      <w:pPr>
        <w:pStyle w:val="paragraphStyleText"/>
        <w:rPr>
          <w:rStyle w:val="fontStyleText"/>
        </w:rPr>
      </w:pPr>
    </w:p>
    <w:p w:rsidR="00250E69" w:rsidRDefault="00250E69" w:rsidP="00250E69">
      <w:pPr>
        <w:pStyle w:val="paragraphStyleText"/>
      </w:pPr>
      <w:r>
        <w:rPr>
          <w:noProof/>
        </w:rPr>
        <w:lastRenderedPageBreak/>
        <w:drawing>
          <wp:inline distT="0" distB="0" distL="0" distR="0">
            <wp:extent cx="5715000" cy="32194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15000" cy="3219450"/>
                    </a:xfrm>
                    <a:prstGeom prst="rect">
                      <a:avLst/>
                    </a:prstGeom>
                    <a:noFill/>
                    <a:ln>
                      <a:noFill/>
                    </a:ln>
                  </pic:spPr>
                </pic:pic>
              </a:graphicData>
            </a:graphic>
          </wp:inline>
        </w:drawing>
      </w:r>
      <w:r>
        <w:rPr>
          <w:rStyle w:val="fontStyleText"/>
        </w:rPr>
        <w:t xml:space="preserve">  Рисунок 5. Примеры золотого сечения в природе: анатомия, растения и животные</w:t>
      </w:r>
    </w:p>
    <w:p w:rsidR="00250E69" w:rsidRDefault="00250E69" w:rsidP="00250E69">
      <w:pPr>
        <w:pStyle w:val="paragraphStyleText"/>
      </w:pPr>
      <w:r>
        <w:t xml:space="preserve"> </w:t>
      </w:r>
      <w:r>
        <w:rPr>
          <w:noProof/>
        </w:rPr>
        <w:drawing>
          <wp:inline distT="0" distB="0" distL="0" distR="0">
            <wp:extent cx="5715000" cy="320992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15000" cy="3209925"/>
                    </a:xfrm>
                    <a:prstGeom prst="rect">
                      <a:avLst/>
                    </a:prstGeom>
                    <a:noFill/>
                    <a:ln>
                      <a:noFill/>
                    </a:ln>
                  </pic:spPr>
                </pic:pic>
              </a:graphicData>
            </a:graphic>
          </wp:inline>
        </w:drawing>
      </w:r>
      <w:r>
        <w:rPr>
          <w:rStyle w:val="fontStyleText"/>
        </w:rPr>
        <w:t xml:space="preserve">  Рисунок 6. Примеры золотого сечения в природе: анатомия, растения и животные</w:t>
      </w:r>
    </w:p>
    <w:p w:rsidR="00250E69" w:rsidRDefault="00250E69" w:rsidP="00250E69">
      <w:pPr>
        <w:pStyle w:val="paragraphStyleText"/>
      </w:pPr>
    </w:p>
    <w:p w:rsidR="00250E69" w:rsidRDefault="00250E69">
      <w:pPr>
        <w:pStyle w:val="paragraphStyleText"/>
      </w:pPr>
    </w:p>
    <w:p w:rsidR="00250E69" w:rsidRDefault="00250E69">
      <w:pPr>
        <w:pStyle w:val="paragraphStyleText"/>
      </w:pPr>
    </w:p>
    <w:p w:rsidR="00250E69" w:rsidRDefault="00250E69">
      <w:pPr>
        <w:pStyle w:val="paragraphStyleText"/>
      </w:pPr>
    </w:p>
    <w:p w:rsidR="00250E69" w:rsidRDefault="00250E69" w:rsidP="00250E69">
      <w:pPr>
        <w:pStyle w:val="1"/>
      </w:pPr>
      <w:r>
        <w:t>Золотое сечение в искусстве</w:t>
      </w:r>
    </w:p>
    <w:p w:rsidR="00250E69" w:rsidRDefault="00250E69" w:rsidP="00250E69">
      <w:pPr>
        <w:pStyle w:val="paragraphStyleText"/>
        <w:rPr>
          <w:rStyle w:val="fontStyleText"/>
        </w:rPr>
      </w:pPr>
      <w:r>
        <w:t xml:space="preserve"> </w:t>
      </w:r>
      <w:r>
        <w:rPr>
          <w:noProof/>
        </w:rPr>
        <w:drawing>
          <wp:inline distT="0" distB="0" distL="0" distR="0">
            <wp:extent cx="5715000" cy="42100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15000" cy="4210050"/>
                    </a:xfrm>
                    <a:prstGeom prst="rect">
                      <a:avLst/>
                    </a:prstGeom>
                    <a:noFill/>
                    <a:ln>
                      <a:noFill/>
                    </a:ln>
                  </pic:spPr>
                </pic:pic>
              </a:graphicData>
            </a:graphic>
          </wp:inline>
        </w:drawing>
      </w:r>
      <w:r>
        <w:rPr>
          <w:rStyle w:val="fontStyleText"/>
        </w:rPr>
        <w:t xml:space="preserve">  Рисунок 7. Примеры использования золотого сечения в искусстве</w:t>
      </w:r>
    </w:p>
    <w:p w:rsidR="00250E69" w:rsidRDefault="00250E69" w:rsidP="00250E69">
      <w:pPr>
        <w:pStyle w:val="paragraphStyleText"/>
        <w:rPr>
          <w:rStyle w:val="fontStyleText"/>
        </w:rPr>
      </w:pPr>
    </w:p>
    <w:p w:rsidR="00250E69" w:rsidRDefault="00250E69" w:rsidP="00250E69">
      <w:pPr>
        <w:pStyle w:val="paragraphStyleText"/>
      </w:pPr>
      <w:r>
        <w:rPr>
          <w:noProof/>
        </w:rPr>
        <w:lastRenderedPageBreak/>
        <w:drawing>
          <wp:inline distT="0" distB="0" distL="0" distR="0">
            <wp:extent cx="5715000" cy="406717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15000" cy="4067175"/>
                    </a:xfrm>
                    <a:prstGeom prst="rect">
                      <a:avLst/>
                    </a:prstGeom>
                    <a:noFill/>
                    <a:ln>
                      <a:noFill/>
                    </a:ln>
                  </pic:spPr>
                </pic:pic>
              </a:graphicData>
            </a:graphic>
          </wp:inline>
        </w:drawing>
      </w:r>
      <w:r>
        <w:rPr>
          <w:rStyle w:val="fontStyleText"/>
        </w:rPr>
        <w:t xml:space="preserve">  Рисунок 8. Примеры использования золотого сечения в искусстве</w:t>
      </w:r>
    </w:p>
    <w:p w:rsidR="00250E69" w:rsidRDefault="00250E69" w:rsidP="00250E69">
      <w:pPr>
        <w:pStyle w:val="1"/>
      </w:pPr>
      <w:r>
        <w:t>Практические измерения роста и частей тела</w:t>
      </w:r>
    </w:p>
    <w:p w:rsidR="00250E69" w:rsidRDefault="00250E69" w:rsidP="00250E69">
      <w:pPr>
        <w:pStyle w:val="paragraphStyleText"/>
      </w:pPr>
      <w:r>
        <w:lastRenderedPageBreak/>
        <w:t xml:space="preserve"> </w:t>
      </w:r>
      <w:r>
        <w:rPr>
          <w:noProof/>
        </w:rPr>
        <w:drawing>
          <wp:inline distT="0" distB="0" distL="0" distR="0">
            <wp:extent cx="5715000" cy="428625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15000" cy="4286250"/>
                    </a:xfrm>
                    <a:prstGeom prst="rect">
                      <a:avLst/>
                    </a:prstGeom>
                    <a:noFill/>
                    <a:ln>
                      <a:noFill/>
                    </a:ln>
                  </pic:spPr>
                </pic:pic>
              </a:graphicData>
            </a:graphic>
          </wp:inline>
        </w:drawing>
      </w:r>
      <w:r>
        <w:rPr>
          <w:rStyle w:val="fontStyleText"/>
        </w:rPr>
        <w:t xml:space="preserve">  Рисунок 9. Схемы и примеры измерений для анализа пропорций тела по принципам золотого сечения.</w:t>
      </w:r>
    </w:p>
    <w:p w:rsidR="00250E69" w:rsidRDefault="00250E69" w:rsidP="00250E69">
      <w:pPr>
        <w:pStyle w:val="paragraphStyleText"/>
      </w:pPr>
      <w:r>
        <w:t xml:space="preserve"> </w:t>
      </w:r>
      <w:r>
        <w:rPr>
          <w:noProof/>
        </w:rPr>
        <w:drawing>
          <wp:inline distT="0" distB="0" distL="0" distR="0">
            <wp:extent cx="5715000" cy="241935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15000" cy="2419350"/>
                    </a:xfrm>
                    <a:prstGeom prst="rect">
                      <a:avLst/>
                    </a:prstGeom>
                    <a:noFill/>
                    <a:ln>
                      <a:noFill/>
                    </a:ln>
                  </pic:spPr>
                </pic:pic>
              </a:graphicData>
            </a:graphic>
          </wp:inline>
        </w:drawing>
      </w:r>
      <w:r>
        <w:rPr>
          <w:rStyle w:val="fontStyleText"/>
        </w:rPr>
        <w:t xml:space="preserve">  Рисунок 10. Схемы и примеры измерений для анализа пропорций тела по принципам золотого сечения.</w:t>
      </w:r>
    </w:p>
    <w:p w:rsidR="00250E69" w:rsidRDefault="00250E69">
      <w:pPr>
        <w:pStyle w:val="paragraphStyleText"/>
      </w:pPr>
    </w:p>
    <w:p w:rsidR="00250E69" w:rsidRDefault="00250E69" w:rsidP="00250E69">
      <w:pPr>
        <w:pStyle w:val="1"/>
      </w:pPr>
      <w:r>
        <w:lastRenderedPageBreak/>
        <w:t>Создание буклета о золотом сечении</w:t>
      </w:r>
    </w:p>
    <w:p w:rsidR="00250E69" w:rsidRDefault="00250E69" w:rsidP="00250E69">
      <w:pPr>
        <w:pStyle w:val="paragraphStyleText"/>
      </w:pPr>
      <w:r>
        <w:t xml:space="preserve"> </w:t>
      </w:r>
      <w:r>
        <w:rPr>
          <w:noProof/>
        </w:rPr>
        <w:drawing>
          <wp:inline distT="0" distB="0" distL="0" distR="0">
            <wp:extent cx="5715000" cy="403860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15000" cy="4038600"/>
                    </a:xfrm>
                    <a:prstGeom prst="rect">
                      <a:avLst/>
                    </a:prstGeom>
                    <a:noFill/>
                    <a:ln>
                      <a:noFill/>
                    </a:ln>
                  </pic:spPr>
                </pic:pic>
              </a:graphicData>
            </a:graphic>
          </wp:inline>
        </w:drawing>
      </w:r>
      <w:r>
        <w:rPr>
          <w:rStyle w:val="fontStyleText"/>
        </w:rPr>
        <w:t xml:space="preserve">  Рисунок 11. Примеры оформления буклетов для проекта о золотом сечении</w:t>
      </w:r>
    </w:p>
    <w:p w:rsidR="00250E69" w:rsidRDefault="00250E69" w:rsidP="00250E69">
      <w:pPr>
        <w:pStyle w:val="paragraphStyleText"/>
      </w:pPr>
      <w:r>
        <w:lastRenderedPageBreak/>
        <w:t xml:space="preserve"> </w:t>
      </w:r>
      <w:r>
        <w:rPr>
          <w:noProof/>
        </w:rPr>
        <w:drawing>
          <wp:inline distT="0" distB="0" distL="0" distR="0">
            <wp:extent cx="5715000" cy="403860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15000" cy="4038600"/>
                    </a:xfrm>
                    <a:prstGeom prst="rect">
                      <a:avLst/>
                    </a:prstGeom>
                    <a:noFill/>
                    <a:ln>
                      <a:noFill/>
                    </a:ln>
                  </pic:spPr>
                </pic:pic>
              </a:graphicData>
            </a:graphic>
          </wp:inline>
        </w:drawing>
      </w:r>
      <w:r>
        <w:rPr>
          <w:rStyle w:val="fontStyleText"/>
        </w:rPr>
        <w:t xml:space="preserve">  Рисунок 12. Примеры оформления буклетов для проекта о золотом сечении</w:t>
      </w:r>
    </w:p>
    <w:p w:rsidR="00250E69" w:rsidRDefault="00250E69">
      <w:pPr>
        <w:pStyle w:val="paragraphStyleText"/>
      </w:pPr>
      <w:bookmarkStart w:id="11" w:name="_GoBack"/>
      <w:bookmarkEnd w:id="11"/>
    </w:p>
    <w:sectPr w:rsidR="00250E69">
      <w:footerReference w:type="default" r:id="rId27"/>
      <w:pgSz w:w="11905" w:h="16837"/>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77FE" w:rsidRDefault="004977FE">
      <w:pPr>
        <w:spacing w:after="0" w:line="240" w:lineRule="auto"/>
      </w:pPr>
      <w:r>
        <w:separator/>
      </w:r>
    </w:p>
  </w:endnote>
  <w:endnote w:type="continuationSeparator" w:id="0">
    <w:p w:rsidR="004977FE" w:rsidRDefault="004977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Helvetica Neue">
    <w:panose1 w:val="00000000000000000000"/>
    <w:charset w:val="00"/>
    <w:family w:val="roman"/>
    <w:notTrueType/>
    <w:pitch w:val="default"/>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BFA" w:rsidRDefault="00AA548D">
    <w:pPr>
      <w:pStyle w:val="paragraphStylePageNum"/>
    </w:pPr>
    <w:r>
      <w:fldChar w:fldCharType="begin"/>
    </w:r>
    <w:r>
      <w:rPr>
        <w:rStyle w:val="fontStyleText"/>
      </w:rPr>
      <w:instrText>PAGE</w:instrText>
    </w:r>
    <w:r>
      <w:fldChar w:fldCharType="separate"/>
    </w:r>
    <w:r w:rsidR="00DE48A7">
      <w:rPr>
        <w:rStyle w:val="fontStyleText"/>
        <w:noProof/>
      </w:rPr>
      <w:t>4</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BFA" w:rsidRDefault="00AA548D">
    <w:pPr>
      <w:pStyle w:val="paragraphStylePageNum"/>
    </w:pPr>
    <w:r>
      <w:fldChar w:fldCharType="begin"/>
    </w:r>
    <w:r>
      <w:rPr>
        <w:rStyle w:val="fontStyleText"/>
      </w:rPr>
      <w:instrText>PAGE</w:instrText>
    </w:r>
    <w:r>
      <w:fldChar w:fldCharType="separate"/>
    </w:r>
    <w:r w:rsidR="00DE48A7">
      <w:rPr>
        <w:rStyle w:val="fontStyleText"/>
        <w:noProof/>
      </w:rPr>
      <w:t>6</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BFA" w:rsidRDefault="00AA548D">
    <w:pPr>
      <w:pStyle w:val="paragraphStylePageNum"/>
    </w:pPr>
    <w:r>
      <w:fldChar w:fldCharType="begin"/>
    </w:r>
    <w:r>
      <w:rPr>
        <w:rStyle w:val="fontStyleText"/>
      </w:rPr>
      <w:instrText>PAGE</w:instrText>
    </w:r>
    <w:r>
      <w:fldChar w:fldCharType="separate"/>
    </w:r>
    <w:r w:rsidR="00DE48A7">
      <w:rPr>
        <w:rStyle w:val="fontStyleText"/>
        <w:noProof/>
      </w:rPr>
      <w:t>9</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BFA" w:rsidRDefault="00AA548D">
    <w:pPr>
      <w:pStyle w:val="paragraphStylePageNum"/>
    </w:pPr>
    <w:r>
      <w:fldChar w:fldCharType="begin"/>
    </w:r>
    <w:r>
      <w:rPr>
        <w:rStyle w:val="fontStyleText"/>
      </w:rPr>
      <w:instrText>PAGE</w:instrText>
    </w:r>
    <w:r>
      <w:fldChar w:fldCharType="separate"/>
    </w:r>
    <w:r w:rsidR="00DE48A7">
      <w:rPr>
        <w:rStyle w:val="fontStyleText"/>
        <w:noProof/>
      </w:rPr>
      <w:t>12</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BFA" w:rsidRDefault="00AA548D">
    <w:pPr>
      <w:pStyle w:val="paragraphStylePageNum"/>
    </w:pPr>
    <w:r>
      <w:fldChar w:fldCharType="begin"/>
    </w:r>
    <w:r>
      <w:rPr>
        <w:rStyle w:val="fontStyleText"/>
      </w:rPr>
      <w:instrText>PAGE</w:instrText>
    </w:r>
    <w:r>
      <w:fldChar w:fldCharType="separate"/>
    </w:r>
    <w:r w:rsidR="00DE48A7">
      <w:rPr>
        <w:rStyle w:val="fontStyleText"/>
        <w:noProof/>
      </w:rPr>
      <w:t>15</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BFA" w:rsidRDefault="00AA548D">
    <w:pPr>
      <w:pStyle w:val="paragraphStylePageNum"/>
    </w:pPr>
    <w:r>
      <w:fldChar w:fldCharType="begin"/>
    </w:r>
    <w:r>
      <w:rPr>
        <w:rStyle w:val="fontStyleText"/>
      </w:rPr>
      <w:instrText>PAGE</w:instrText>
    </w:r>
    <w:r>
      <w:fldChar w:fldCharType="separate"/>
    </w:r>
    <w:r w:rsidR="00DE48A7">
      <w:rPr>
        <w:rStyle w:val="fontStyleText"/>
        <w:noProof/>
      </w:rPr>
      <w:t>17</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BFA" w:rsidRDefault="00AA548D">
    <w:pPr>
      <w:pStyle w:val="paragraphStylePageNum"/>
    </w:pPr>
    <w:r>
      <w:fldChar w:fldCharType="begin"/>
    </w:r>
    <w:r>
      <w:rPr>
        <w:rStyle w:val="fontStyleText"/>
      </w:rPr>
      <w:instrText>PAGE</w:instrText>
    </w:r>
    <w:r>
      <w:fldChar w:fldCharType="separate"/>
    </w:r>
    <w:r w:rsidR="00DE48A7">
      <w:rPr>
        <w:rStyle w:val="fontStyleText"/>
        <w:noProof/>
      </w:rPr>
      <w:t>20</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BFA" w:rsidRDefault="00AA548D">
    <w:pPr>
      <w:pStyle w:val="paragraphStylePageNum"/>
    </w:pPr>
    <w:r>
      <w:fldChar w:fldCharType="begin"/>
    </w:r>
    <w:r>
      <w:rPr>
        <w:rStyle w:val="fontStyleText"/>
      </w:rPr>
      <w:instrText>PAGE</w:instrText>
    </w:r>
    <w:r>
      <w:fldChar w:fldCharType="separate"/>
    </w:r>
    <w:r w:rsidR="00DE48A7">
      <w:rPr>
        <w:rStyle w:val="fontStyleText"/>
        <w:noProof/>
      </w:rPr>
      <w:t>22</w:t>
    </w:r>
    <w: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BFA" w:rsidRDefault="00AA548D">
    <w:pPr>
      <w:pStyle w:val="paragraphStylePageNum"/>
    </w:pPr>
    <w:r>
      <w:fldChar w:fldCharType="begin"/>
    </w:r>
    <w:r>
      <w:rPr>
        <w:rStyle w:val="fontStyleText"/>
      </w:rPr>
      <w:instrText>PAGE</w:instrText>
    </w:r>
    <w:r>
      <w:fldChar w:fldCharType="separate"/>
    </w:r>
    <w:r w:rsidR="00DE48A7">
      <w:rPr>
        <w:rStyle w:val="fontStyleText"/>
        <w:noProof/>
      </w:rPr>
      <w:t>25</w:t>
    </w:r>
    <w: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BFA" w:rsidRDefault="00AA548D">
    <w:pPr>
      <w:pStyle w:val="paragraphStylePageNum"/>
    </w:pPr>
    <w:r>
      <w:fldChar w:fldCharType="begin"/>
    </w:r>
    <w:r>
      <w:rPr>
        <w:rStyle w:val="fontStyleText"/>
      </w:rPr>
      <w:instrText>PAGE</w:instrText>
    </w:r>
    <w:r>
      <w:fldChar w:fldCharType="separate"/>
    </w:r>
    <w:r w:rsidR="00DE48A7">
      <w:rPr>
        <w:rStyle w:val="fontStyleText"/>
        <w:noProof/>
      </w:rPr>
      <w:t>36</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77FE" w:rsidRDefault="004977FE">
      <w:pPr>
        <w:spacing w:after="0" w:line="240" w:lineRule="auto"/>
      </w:pPr>
      <w:r>
        <w:separator/>
      </w:r>
    </w:p>
  </w:footnote>
  <w:footnote w:type="continuationSeparator" w:id="0">
    <w:p w:rsidR="004977FE" w:rsidRDefault="004977F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E42BFA"/>
    <w:rsid w:val="00250E69"/>
    <w:rsid w:val="004977FE"/>
    <w:rsid w:val="00AA548D"/>
    <w:rsid w:val="00C81BA3"/>
    <w:rsid w:val="00DE48A7"/>
    <w:rsid w:val="00E42BFA"/>
    <w:rsid w:val="00EB7A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52E6878-85E6-4EA7-8744-BF726B8987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4"/>
        <w:szCs w:val="24"/>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rFonts w:ascii="Times New Roman" w:eastAsia="Times New Roman" w:hAnsi="Times New Roman" w:cs="Times New Roman"/>
      <w:color w:val="000000"/>
      <w:sz w:val="22"/>
      <w:szCs w:val="22"/>
    </w:rPr>
  </w:style>
  <w:style w:type="paragraph" w:styleId="1">
    <w:name w:val="heading 1"/>
    <w:basedOn w:val="a"/>
    <w:pPr>
      <w:outlineLvl w:val="0"/>
    </w:pPr>
    <w:rPr>
      <w:b/>
      <w:bCs/>
      <w:sz w:val="32"/>
      <w:szCs w:val="32"/>
    </w:rPr>
  </w:style>
  <w:style w:type="paragraph" w:styleId="2">
    <w:name w:val="heading 2"/>
    <w:basedOn w:val="a"/>
    <w:pPr>
      <w:outlineLvl w:val="1"/>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semiHidden/>
    <w:unhideWhenUsed/>
    <w:rPr>
      <w:vertAlign w:val="superscript"/>
    </w:rPr>
  </w:style>
  <w:style w:type="table" w:customStyle="1" w:styleId="10">
    <w:name w:val="Обычная таблица1"/>
    <w:uiPriority w:val="99"/>
    <w:tblPr>
      <w:tblInd w:w="0" w:type="dxa"/>
      <w:tblCellMar>
        <w:top w:w="0" w:type="dxa"/>
        <w:left w:w="108" w:type="dxa"/>
        <w:bottom w:w="0" w:type="dxa"/>
        <w:right w:w="108" w:type="dxa"/>
      </w:tblCellMar>
    </w:tblPr>
  </w:style>
  <w:style w:type="paragraph" w:customStyle="1" w:styleId="a4">
    <w:name w:val="Колонтитулы"/>
    <w:basedOn w:val="a"/>
    <w:rPr>
      <w:rFonts w:ascii="Helvetica Neue" w:eastAsia="Helvetica Neue" w:hAnsi="Helvetica Neue" w:cs="Helvetica Neue"/>
    </w:rPr>
  </w:style>
  <w:style w:type="table" w:customStyle="1" w:styleId="11">
    <w:name w:val="Сетка таблицы1"/>
    <w:uiPriority w:val="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style>
  <w:style w:type="paragraph" w:customStyle="1" w:styleId="12">
    <w:name w:val="Верхний колонтитул1"/>
    <w:basedOn w:val="a"/>
    <w:pPr>
      <w:spacing w:after="0"/>
    </w:pPr>
  </w:style>
  <w:style w:type="character" w:customStyle="1" w:styleId="a5">
    <w:name w:val="Верхний колонтитул Знак"/>
    <w:rPr>
      <w:rFonts w:ascii="Calibri" w:eastAsia="Calibri" w:hAnsi="Calibri" w:cs="Calibri"/>
      <w:color w:val="000000"/>
      <w:sz w:val="22"/>
      <w:szCs w:val="22"/>
    </w:rPr>
  </w:style>
  <w:style w:type="paragraph" w:customStyle="1" w:styleId="13">
    <w:name w:val="Нижний колонтитул1"/>
    <w:basedOn w:val="a"/>
    <w:pPr>
      <w:spacing w:after="0"/>
    </w:pPr>
  </w:style>
  <w:style w:type="character" w:customStyle="1" w:styleId="a6">
    <w:name w:val="Нижний колонтитул Знак"/>
    <w:rPr>
      <w:rFonts w:ascii="Calibri" w:eastAsia="Calibri" w:hAnsi="Calibri" w:cs="Calibri"/>
      <w:color w:val="000000"/>
      <w:sz w:val="22"/>
      <w:szCs w:val="22"/>
    </w:rPr>
  </w:style>
  <w:style w:type="character" w:customStyle="1" w:styleId="fontStyleText">
    <w:name w:val="fontStyleText"/>
    <w:rPr>
      <w:rFonts w:ascii="Times New Roman" w:eastAsia="Times New Roman" w:hAnsi="Times New Roman" w:cs="Times New Roman"/>
      <w:b w:val="0"/>
      <w:bCs w:val="0"/>
      <w:i w:val="0"/>
      <w:iCs w:val="0"/>
      <w:sz w:val="28"/>
      <w:szCs w:val="28"/>
    </w:rPr>
  </w:style>
  <w:style w:type="paragraph" w:customStyle="1" w:styleId="paragraphStylePageNum">
    <w:name w:val="paragraphStylePageNum"/>
    <w:basedOn w:val="a"/>
    <w:pPr>
      <w:spacing w:after="100"/>
      <w:jc w:val="right"/>
    </w:pPr>
  </w:style>
  <w:style w:type="paragraph" w:customStyle="1" w:styleId="paragraphStyleText">
    <w:name w:val="paragraphStyleText"/>
    <w:basedOn w:val="a"/>
    <w:pPr>
      <w:spacing w:after="0" w:line="360" w:lineRule="auto"/>
      <w:ind w:firstLine="720"/>
      <w:jc w:val="both"/>
    </w:pPr>
  </w:style>
  <w:style w:type="paragraph" w:styleId="a7">
    <w:name w:val="Balloon Text"/>
    <w:basedOn w:val="a"/>
    <w:link w:val="a8"/>
    <w:uiPriority w:val="99"/>
    <w:semiHidden/>
    <w:unhideWhenUsed/>
    <w:rsid w:val="00DE48A7"/>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DE48A7"/>
    <w:rPr>
      <w:rFonts w:ascii="Segoe UI" w:eastAsia="Times New Roman"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3.xml"/><Relationship Id="rId13" Type="http://schemas.openxmlformats.org/officeDocument/2006/relationships/footer" Target="footer8.xml"/><Relationship Id="rId18" Type="http://schemas.openxmlformats.org/officeDocument/2006/relationships/image" Target="media/image4.jpeg"/><Relationship Id="rId26" Type="http://schemas.openxmlformats.org/officeDocument/2006/relationships/image" Target="media/image12.jpeg"/><Relationship Id="rId3" Type="http://schemas.openxmlformats.org/officeDocument/2006/relationships/webSettings" Target="webSettings.xml"/><Relationship Id="rId21" Type="http://schemas.openxmlformats.org/officeDocument/2006/relationships/image" Target="media/image7.jpeg"/><Relationship Id="rId7" Type="http://schemas.openxmlformats.org/officeDocument/2006/relationships/footer" Target="footer2.xml"/><Relationship Id="rId12" Type="http://schemas.openxmlformats.org/officeDocument/2006/relationships/footer" Target="footer7.xml"/><Relationship Id="rId17" Type="http://schemas.openxmlformats.org/officeDocument/2006/relationships/image" Target="media/image3.jpeg"/><Relationship Id="rId25" Type="http://schemas.openxmlformats.org/officeDocument/2006/relationships/image" Target="media/image11.jpeg"/><Relationship Id="rId2" Type="http://schemas.openxmlformats.org/officeDocument/2006/relationships/settings" Target="settings.xml"/><Relationship Id="rId16" Type="http://schemas.openxmlformats.org/officeDocument/2006/relationships/image" Target="media/image2.jpeg"/><Relationship Id="rId20" Type="http://schemas.openxmlformats.org/officeDocument/2006/relationships/image" Target="media/image6.jpeg"/><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footer" Target="footer6.xml"/><Relationship Id="rId24" Type="http://schemas.openxmlformats.org/officeDocument/2006/relationships/image" Target="media/image10.jpeg"/><Relationship Id="rId5" Type="http://schemas.openxmlformats.org/officeDocument/2006/relationships/endnotes" Target="endnotes.xml"/><Relationship Id="rId15" Type="http://schemas.openxmlformats.org/officeDocument/2006/relationships/image" Target="media/image1.jpeg"/><Relationship Id="rId23" Type="http://schemas.openxmlformats.org/officeDocument/2006/relationships/image" Target="media/image9.jpeg"/><Relationship Id="rId28" Type="http://schemas.openxmlformats.org/officeDocument/2006/relationships/fontTable" Target="fontTable.xml"/><Relationship Id="rId10" Type="http://schemas.openxmlformats.org/officeDocument/2006/relationships/footer" Target="footer5.xml"/><Relationship Id="rId19" Type="http://schemas.openxmlformats.org/officeDocument/2006/relationships/image" Target="media/image5.jpeg"/><Relationship Id="rId4" Type="http://schemas.openxmlformats.org/officeDocument/2006/relationships/footnotes" Target="footnotes.xml"/><Relationship Id="rId9" Type="http://schemas.openxmlformats.org/officeDocument/2006/relationships/footer" Target="footer4.xml"/><Relationship Id="rId14" Type="http://schemas.openxmlformats.org/officeDocument/2006/relationships/footer" Target="footer9.xml"/><Relationship Id="rId22" Type="http://schemas.openxmlformats.org/officeDocument/2006/relationships/image" Target="media/image8.jpeg"/><Relationship Id="rId27"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38</Pages>
  <Words>5940</Words>
  <Characters>33859</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Manager/>
  <Company/>
  <LinksUpToDate>false</LinksUpToDate>
  <CharactersWithSpaces>39720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Антон Осипов</dc:creator>
  <cp:keywords/>
  <dc:description/>
  <cp:lastModifiedBy>Учетная запись Майкрософт</cp:lastModifiedBy>
  <cp:revision>6</cp:revision>
  <cp:lastPrinted>2025-02-12T14:38:00Z</cp:lastPrinted>
  <dcterms:created xsi:type="dcterms:W3CDTF">2024-09-05T17:52:00Z</dcterms:created>
  <dcterms:modified xsi:type="dcterms:W3CDTF">2025-02-12T14:40:00Z</dcterms:modified>
  <cp:category/>
</cp:coreProperties>
</file>