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общеобразовательное учреждение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«Средняя общеобразовательная школа № 10»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05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07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09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Исследовательская работа</w:t>
      </w:r>
    </w:p>
    <w:p w14:paraId="0D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«Применение информационных технологий в сельском хозяйстве»</w:t>
      </w:r>
    </w:p>
    <w:p w14:paraId="0E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11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12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13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5103"/>
        <w:gridCol w:w="4242"/>
      </w:tblGrid>
      <w:tr>
        <w:tc>
          <w:tcPr>
            <w:tcW w:type="dxa" w:w="510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400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4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5000000">
            <w:pPr>
              <w:spacing w:after="0"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Выполнил: </w:t>
            </w:r>
          </w:p>
          <w:p w14:paraId="16000000">
            <w:pPr>
              <w:spacing w:after="0"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обучающийся 10 класс</w:t>
            </w:r>
          </w:p>
          <w:p w14:paraId="17000000">
            <w:pPr>
              <w:spacing w:after="0"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Столбин</w:t>
            </w:r>
            <w:r>
              <w:rPr>
                <w:rFonts w:ascii="Times New Roman" w:hAnsi="Times New Roman"/>
                <w:sz w:val="28"/>
              </w:rPr>
              <w:t xml:space="preserve"> Данила Николаевич</w:t>
            </w:r>
          </w:p>
          <w:p w14:paraId="18000000">
            <w:pPr>
              <w:spacing w:after="0"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Руководитель:</w:t>
            </w:r>
          </w:p>
          <w:p w14:paraId="19000000">
            <w:pPr>
              <w:spacing w:after="0"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информатики</w:t>
            </w:r>
          </w:p>
          <w:p w14:paraId="1A000000">
            <w:pPr>
              <w:spacing w:after="0"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Кузнецова Ольга Александровна</w:t>
            </w:r>
          </w:p>
        </w:tc>
      </w:tr>
    </w:tbl>
    <w:p w14:paraId="1B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1C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1D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1E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1F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Радуга</w:t>
      </w:r>
    </w:p>
    <w:p w14:paraId="20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</w:t>
      </w:r>
    </w:p>
    <w:p w14:paraId="21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Введение</w:t>
      </w:r>
    </w:p>
    <w:p w14:paraId="22000000">
      <w:pPr>
        <w:spacing w:after="300" w:before="0"/>
        <w:ind w:firstLine="0" w:left="0"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>Сегодня цифровые технологии охватывают большинство сфер. Исключением не стало и сельское хозяйство – стратегическая для России отрасль. Минсельхоз РФ реализует проект «Цифровое сельское хозяйство», который ставит перед собой амбициозные цели – цифровые технологии должны помочь увеличить производительность сельхозпредприятий вдвое к 2024 году.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 xml:space="preserve">Сегодня использование ИТ в сельском хозяйстве – это не только применение компьютеров. Цифровые технологии позволяют контролировать полный цикл растениеводства – «умные» устройства измеряют и передают параметры почвы, растений, микроклимата и т.д. Все эти данные с датчиков, дронов и другой техники анализируются специальными программами. Мобильные или онлайн-приложения приходят на помощь агрономам – чтобы определить благоприятное время для посадки или сбора урожая, рассчитать схему удобрений, спрогнозировать урожай и многое другое. 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>Применение информационных технологий в агрономии сейчас широко распространено, аграрное хозяйство шагнуло далеко вперед, и мне было очень интересно погрузиться в эту тему</w:t>
      </w:r>
    </w:p>
    <w:p w14:paraId="23000000">
      <w:pPr>
        <w:spacing w:after="0" w:line="360" w:lineRule="auto"/>
        <w:ind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Новизна </w:t>
      </w:r>
      <w:r>
        <w:rPr>
          <w:rFonts w:ascii="Times New Roman" w:hAnsi="Times New Roman"/>
          <w:sz w:val="28"/>
        </w:rPr>
        <w:t>— в</w:t>
      </w:r>
      <w:r>
        <w:rPr>
          <w:rFonts w:ascii="Times New Roman" w:hAnsi="Times New Roman"/>
          <w:sz w:val="28"/>
        </w:rPr>
        <w:t xml:space="preserve"> сельском хозяйстве информационные технологии применяются для оптимизации устоявшихся процессов и внедрения новых решений, которые облегчают прогнозирование и планирование показателей труда аграриев. Я решил изучить эту тему подробнее и создать свой программный продукт. В этом и заключается новизна моего исследования.</w:t>
      </w:r>
    </w:p>
    <w:p w14:paraId="24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Цель исследовательской работы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обосновать необходимость использования информационных технологий в аграрной отрасли на конкретных примерах</w:t>
      </w:r>
      <w:r>
        <w:rPr>
          <w:rFonts w:ascii="Times New Roman" w:hAnsi="Times New Roman"/>
          <w:sz w:val="28"/>
        </w:rPr>
        <w:t>.</w:t>
      </w:r>
    </w:p>
    <w:p w14:paraId="25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 исследования:</w:t>
      </w:r>
      <w:r>
        <w:t xml:space="preserve"> </w:t>
      </w:r>
    </w:p>
    <w:p w14:paraId="26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изучить опыт </w:t>
      </w:r>
      <w:r>
        <w:rPr>
          <w:rFonts w:ascii="Times New Roman" w:hAnsi="Times New Roman"/>
          <w:sz w:val="28"/>
        </w:rPr>
        <w:t>распространения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эффективного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информационных технологий в сельском хозяйстве;</w:t>
      </w:r>
    </w:p>
    <w:p w14:paraId="27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проанализировать, к чему приведёт прогресс технологий, и какими они будут в будущем.</w:t>
      </w:r>
    </w:p>
    <w:p w14:paraId="2800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познакомиться с характеристикой программного обеспечения и языка программирования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самостоятельно изучить среду программирования;</w:t>
      </w:r>
    </w:p>
    <w:p w14:paraId="2900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изучить литературу, интернет-источники по данной теме;</w:t>
      </w:r>
    </w:p>
    <w:p w14:paraId="2A00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самостоятельно программный продукт.</w:t>
      </w:r>
    </w:p>
    <w:p w14:paraId="2B00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Практическая значимость </w:t>
      </w:r>
      <w:r>
        <w:rPr>
          <w:rFonts w:ascii="Times New Roman" w:hAnsi="Times New Roman"/>
          <w:sz w:val="28"/>
        </w:rPr>
        <w:t xml:space="preserve">— </w:t>
      </w:r>
      <w:r>
        <w:rPr>
          <w:rFonts w:ascii="Times New Roman" w:hAnsi="Times New Roman"/>
          <w:sz w:val="28"/>
        </w:rPr>
        <w:t xml:space="preserve">моей работы состоит в том, что в дальнейшем материалы исследования могут быть использованы для развития </w:t>
      </w:r>
      <w:r>
        <w:rPr>
          <w:rFonts w:ascii="Times New Roman" w:hAnsi="Times New Roman"/>
          <w:sz w:val="28"/>
        </w:rPr>
        <w:t>способностей к программированию и облегчения систематизации и учета обобщенных данных в нашем хозяйстве.</w:t>
      </w:r>
    </w:p>
    <w:p w14:paraId="2C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Гипотеза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</w:rPr>
        <w:t xml:space="preserve"> разработанное программное решение увеличит качество работы крестьянского фермерского хозяйства.</w:t>
      </w:r>
    </w:p>
    <w:p w14:paraId="2D00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Объект исследования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</w:rPr>
        <w:t xml:space="preserve"> программный продукт.</w:t>
      </w:r>
    </w:p>
    <w:p w14:paraId="2E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Методы исследования </w:t>
      </w:r>
      <w:r>
        <w:rPr>
          <w:rFonts w:ascii="Times New Roman" w:hAnsi="Times New Roman"/>
          <w:sz w:val="28"/>
        </w:rPr>
        <w:t xml:space="preserve">— </w:t>
      </w:r>
      <w:r>
        <w:rPr>
          <w:rFonts w:ascii="Times New Roman" w:hAnsi="Times New Roman"/>
          <w:sz w:val="28"/>
        </w:rPr>
        <w:t xml:space="preserve">наблюдение, работа с документами, </w:t>
      </w:r>
      <w:r>
        <w:rPr>
          <w:rFonts w:ascii="Times New Roman" w:hAnsi="Times New Roman"/>
          <w:sz w:val="28"/>
        </w:rPr>
        <w:t>анализ литературы и интернет - источников по теме</w:t>
      </w:r>
      <w:r>
        <w:rPr>
          <w:rFonts w:ascii="Times New Roman" w:hAnsi="Times New Roman"/>
          <w:sz w:val="28"/>
        </w:rPr>
        <w:t>, высказывание собственного мнения по предложенным аспектам использования информационных технологий, обобщение, прогнозирование.</w:t>
      </w:r>
    </w:p>
    <w:p w14:paraId="2F000000">
      <w:pPr>
        <w:rPr>
          <w:rFonts w:ascii="Times New Roman" w:hAnsi="Times New Roman"/>
          <w:sz w:val="28"/>
        </w:rPr>
      </w:pPr>
    </w:p>
    <w:p w14:paraId="30000000">
      <w:pPr>
        <w:rPr>
          <w:rFonts w:ascii="Times New Roman" w:hAnsi="Times New Roman"/>
          <w:sz w:val="28"/>
        </w:rPr>
      </w:pPr>
    </w:p>
    <w:p w14:paraId="31000000">
      <w:pPr>
        <w:rPr>
          <w:rFonts w:ascii="Times New Roman" w:hAnsi="Times New Roman"/>
          <w:sz w:val="28"/>
        </w:rPr>
      </w:pPr>
    </w:p>
    <w:p w14:paraId="32000000">
      <w:pPr>
        <w:pStyle w:val="Style_2"/>
        <w:numPr>
          <w:ilvl w:val="0"/>
          <w:numId w:val="1"/>
        </w:numPr>
        <w:spacing w:after="0" w:line="360" w:lineRule="auto"/>
        <w:ind/>
        <w:contextualSpacing w:val="1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Применение информационных технологий в сельском хозяйстве</w:t>
      </w:r>
    </w:p>
    <w:p w14:paraId="33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прогнозам ООН, к 2050 году население Земли вырастет до 10 млрд человек, и к тому времени, чтобы его прокормить, мы должны будем производить на 70% больше продовольствия. Задача нетривиальная, но решить её можно с помощью современных технологий.</w:t>
      </w:r>
    </w:p>
    <w:p w14:paraId="34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счастью, сельское хозяйство (СХ) постепенно перестаёт быть лишь территорией плуга и бороны — есть здесь место и для IT. Мы сделали обзор технических решений, которые применяют фермеры в России и других странах, и рассмотрели самые многообещающие </w:t>
      </w:r>
      <w:r>
        <w:rPr>
          <w:rFonts w:ascii="Times New Roman" w:hAnsi="Times New Roman"/>
          <w:sz w:val="28"/>
        </w:rPr>
        <w:t>стартапы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агротехе</w:t>
      </w:r>
      <w:r>
        <w:rPr>
          <w:rFonts w:ascii="Times New Roman" w:hAnsi="Times New Roman"/>
          <w:sz w:val="28"/>
        </w:rPr>
        <w:t>.</w:t>
      </w:r>
    </w:p>
    <w:p w14:paraId="35000000">
      <w:pPr>
        <w:spacing w:line="360" w:lineRule="auto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Как IT помогают спасать человечество от голода</w:t>
      </w:r>
    </w:p>
    <w:p w14:paraId="36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XXI веке сельскохозяйственная отрасль столкнулась с изменением климата, деградацией почвы, дефицитом воды и нехваткой рабочей силы. К счастью, инженеры предложили решения, которые могли бы стать отличным подспорьем в этой ситуации.</w:t>
      </w:r>
    </w:p>
    <w:p w14:paraId="37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они основаны на уже знакомых информационных и телекоммуникационных технологиях:</w:t>
      </w:r>
    </w:p>
    <w:p w14:paraId="38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GPS (</w:t>
      </w:r>
      <w:r>
        <w:rPr>
          <w:rFonts w:ascii="Times New Roman" w:hAnsi="Times New Roman"/>
          <w:sz w:val="28"/>
        </w:rPr>
        <w:t>Global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Positioning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System</w:t>
      </w:r>
      <w:r>
        <w:rPr>
          <w:rFonts w:ascii="Times New Roman" w:hAnsi="Times New Roman"/>
          <w:sz w:val="28"/>
        </w:rPr>
        <w:t>) — для автоматического управления тракторами и сокращения расхода топлива;</w:t>
      </w:r>
    </w:p>
    <w:p w14:paraId="39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IoT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Internet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of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things</w:t>
      </w:r>
      <w:r>
        <w:rPr>
          <w:rFonts w:ascii="Times New Roman" w:hAnsi="Times New Roman"/>
          <w:sz w:val="28"/>
        </w:rPr>
        <w:t xml:space="preserve">) — позволяет получать информацию о состоянии </w:t>
      </w:r>
      <w:r>
        <w:rPr>
          <w:rFonts w:ascii="Times New Roman" w:hAnsi="Times New Roman"/>
          <w:sz w:val="28"/>
        </w:rPr>
        <w:t>агрокультур</w:t>
      </w:r>
      <w:r>
        <w:rPr>
          <w:rFonts w:ascii="Times New Roman" w:hAnsi="Times New Roman"/>
          <w:sz w:val="28"/>
        </w:rPr>
        <w:t>, параметрах воздуха в теплицах и так далее;</w:t>
      </w:r>
    </w:p>
    <w:p w14:paraId="3A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компьютерное зрение — для анализа местности и автоматизированных работ на полях;</w:t>
      </w:r>
    </w:p>
    <w:p w14:paraId="3B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big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data</w:t>
      </w:r>
      <w:r>
        <w:rPr>
          <w:rFonts w:ascii="Times New Roman" w:hAnsi="Times New Roman"/>
          <w:sz w:val="28"/>
        </w:rPr>
        <w:t xml:space="preserve"> — для обработки данных о состоянии урожая, параметрах окружающей среды и так далее;</w:t>
      </w:r>
    </w:p>
    <w:p w14:paraId="3C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беспилотные летательные аппараты — для съёмки местности, картографирования и так далее;</w:t>
      </w:r>
    </w:p>
    <w:p w14:paraId="3D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облачные вычисления — для удалённого управления ресурсами (например, в приложениях </w:t>
      </w:r>
      <w:r>
        <w:rPr>
          <w:rFonts w:ascii="Times New Roman" w:hAnsi="Times New Roman"/>
          <w:sz w:val="28"/>
        </w:rPr>
        <w:t>Farming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as</w:t>
      </w:r>
      <w:r>
        <w:rPr>
          <w:rFonts w:ascii="Times New Roman" w:hAnsi="Times New Roman"/>
          <w:sz w:val="28"/>
        </w:rPr>
        <w:t>-a-</w:t>
      </w:r>
      <w:r>
        <w:rPr>
          <w:rFonts w:ascii="Times New Roman" w:hAnsi="Times New Roman"/>
          <w:sz w:val="28"/>
        </w:rPr>
        <w:t>Service</w:t>
      </w:r>
      <w:r>
        <w:rPr>
          <w:rFonts w:ascii="Times New Roman" w:hAnsi="Times New Roman"/>
          <w:sz w:val="28"/>
        </w:rPr>
        <w:t>).</w:t>
      </w:r>
    </w:p>
    <w:p w14:paraId="3E000000">
      <w:pPr>
        <w:spacing w:line="360" w:lineRule="auto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Точное земледелие</w:t>
      </w:r>
    </w:p>
    <w:p w14:paraId="3F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Одно из таких решений — точное земледелие, которое позволяет управлять эффективностью посевов на основе данных. Оно опирается сразу на комплекс технологий, среди которых GPS, </w:t>
      </w:r>
      <w:r>
        <w:rPr>
          <w:rFonts w:ascii="Times New Roman" w:hAnsi="Times New Roman"/>
          <w:sz w:val="28"/>
        </w:rPr>
        <w:t>дроны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IoT</w:t>
      </w:r>
      <w:r>
        <w:rPr>
          <w:rFonts w:ascii="Times New Roman" w:hAnsi="Times New Roman"/>
          <w:sz w:val="28"/>
        </w:rPr>
        <w:t>. По сути, это геоинформационная система (ГИС), заточенная под нужды аграриев.</w:t>
      </w:r>
    </w:p>
    <w:p w14:paraId="40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протяжении всей истории фермеры сеяли зерно, вносили удобрения и поливали землю «на глаз». Но почва на огромном поле неоднородна: различаются уклоны на участках, глубина подземных вод и даже направление ветра. Поэтому и состояние посевов везде было разное.</w:t>
      </w:r>
    </w:p>
    <w:p w14:paraId="41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таким фото фермер может увидеть, на каком участке поля </w:t>
      </w:r>
      <w:r>
        <w:rPr>
          <w:rFonts w:ascii="Times New Roman" w:hAnsi="Times New Roman"/>
          <w:sz w:val="28"/>
        </w:rPr>
        <w:t>сельхозкультуры</w:t>
      </w:r>
      <w:r>
        <w:rPr>
          <w:rFonts w:ascii="Times New Roman" w:hAnsi="Times New Roman"/>
          <w:sz w:val="28"/>
        </w:rPr>
        <w:t xml:space="preserve"> засыхают или им не хватает удобрений, и оперативно управлять посевом</w:t>
      </w:r>
    </w:p>
    <w:p w14:paraId="42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Точное земледелие позволяет эффективно использовать ресурсы в таких условиях. Там, где нужно, фермер использует больше воды, удобрений и химикатов, а на менее требовательных участках — экономит. Помимо того, что система приносит очевидную выгоду, она ещё снижает нагрузку на почву и способствует сохранению экологии.</w:t>
      </w:r>
    </w:p>
    <w:p w14:paraId="43000000">
      <w:pPr>
        <w:spacing w:line="360" w:lineRule="auto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Агродроны</w:t>
      </w:r>
    </w:p>
    <w:p w14:paraId="44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Беспилотные летательные аппараты проводят точное картографирование, определяют влажность воздуха и почвы, контролируют состояние посевов и ирригации. В результате снижается занятость работников, что, в свою очередь, существенно уменьшает операционные затраты.</w:t>
      </w:r>
    </w:p>
    <w:p w14:paraId="45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Например, </w:t>
      </w:r>
      <w:r>
        <w:rPr>
          <w:rFonts w:ascii="Times New Roman" w:hAnsi="Times New Roman"/>
          <w:sz w:val="28"/>
        </w:rPr>
        <w:t>дрон</w:t>
      </w:r>
      <w:r>
        <w:rPr>
          <w:rFonts w:ascii="Times New Roman" w:hAnsi="Times New Roman"/>
          <w:sz w:val="28"/>
        </w:rPr>
        <w:t xml:space="preserve"> DJI </w:t>
      </w:r>
      <w:r>
        <w:rPr>
          <w:rFonts w:ascii="Times New Roman" w:hAnsi="Times New Roman"/>
          <w:sz w:val="28"/>
        </w:rPr>
        <w:t>Phantom</w:t>
      </w:r>
      <w:r>
        <w:rPr>
          <w:rFonts w:ascii="Times New Roman" w:hAnsi="Times New Roman"/>
          <w:sz w:val="28"/>
        </w:rPr>
        <w:t xml:space="preserve"> 4 RTK поддерживает </w:t>
      </w:r>
      <w:r>
        <w:rPr>
          <w:rFonts w:ascii="Times New Roman" w:hAnsi="Times New Roman"/>
          <w:sz w:val="28"/>
        </w:rPr>
        <w:t>постобработанную</w:t>
      </w:r>
      <w:r>
        <w:rPr>
          <w:rFonts w:ascii="Times New Roman" w:hAnsi="Times New Roman"/>
          <w:sz w:val="28"/>
        </w:rPr>
        <w:t xml:space="preserve"> кинематическую съёмку (</w:t>
      </w:r>
      <w:r>
        <w:rPr>
          <w:rFonts w:ascii="Times New Roman" w:hAnsi="Times New Roman"/>
          <w:sz w:val="28"/>
        </w:rPr>
        <w:t>post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processing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kinematic</w:t>
      </w:r>
      <w:r>
        <w:rPr>
          <w:rFonts w:ascii="Times New Roman" w:hAnsi="Times New Roman"/>
          <w:sz w:val="28"/>
        </w:rPr>
        <w:t>, PPK) — технологию, которая анализирует и корректирует данные с GPS-спутников после загрузки в ПК. Плюс РРК в том, что она не требует сильного уровня сигнала, поэтому подходит для длительных полётов и может работать на значительном удалении от оператора.</w:t>
      </w:r>
    </w:p>
    <w:p w14:paraId="46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Правда, здесь есть существенное ограничение. В апреле 2023 года, в связи с указом президента «О мерах, осуществляемых в субъектах Российской Федерации в связи с Указом Президента Российской Федерации от 19 октября 2022 года №756» в 47 из 85 регионов России ввели запрет на полёты </w:t>
      </w:r>
      <w:r>
        <w:rPr>
          <w:rFonts w:ascii="Times New Roman" w:hAnsi="Times New Roman"/>
          <w:sz w:val="28"/>
        </w:rPr>
        <w:t>беспилотников</w:t>
      </w:r>
      <w:r>
        <w:rPr>
          <w:rFonts w:ascii="Times New Roman" w:hAnsi="Times New Roman"/>
          <w:sz w:val="28"/>
        </w:rPr>
        <w:t>.</w:t>
      </w:r>
    </w:p>
    <w:p w14:paraId="47000000">
      <w:pPr>
        <w:spacing w:line="360" w:lineRule="auto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Беспилотные комбайны с ИИ</w:t>
      </w:r>
    </w:p>
    <w:p w14:paraId="48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июня по октябрь 2020 года российские комбайны с искусственным интеллектом </w:t>
      </w:r>
      <w:r>
        <w:rPr>
          <w:rFonts w:ascii="Times New Roman" w:hAnsi="Times New Roman"/>
          <w:sz w:val="28"/>
        </w:rPr>
        <w:t>Gognitive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Agro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Pilot</w:t>
      </w:r>
      <w:r>
        <w:rPr>
          <w:rFonts w:ascii="Times New Roman" w:hAnsi="Times New Roman"/>
          <w:sz w:val="28"/>
        </w:rPr>
        <w:t xml:space="preserve"> в автономном режиме обработали 160 тыс. га, собрав более 730 тыс. тонн урожая. Экономия за счёт использования беспилотных технологий составила более 500 млн рублей.</w:t>
      </w:r>
    </w:p>
    <w:p w14:paraId="49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дополнение к ИИ для управления движением используется система </w:t>
      </w:r>
      <w:r>
        <w:rPr>
          <w:rFonts w:ascii="Times New Roman" w:hAnsi="Times New Roman"/>
          <w:sz w:val="28"/>
        </w:rPr>
        <w:t>геопозиционирования</w:t>
      </w:r>
      <w:r>
        <w:rPr>
          <w:rFonts w:ascii="Times New Roman" w:hAnsi="Times New Roman"/>
          <w:sz w:val="28"/>
        </w:rPr>
        <w:t>. Она эффективна в зонах, где отсутствуют визуальные ориентиры.</w:t>
      </w:r>
    </w:p>
    <w:p w14:paraId="4A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началу 2024 года разработчики планируют реализовать автономную работу умных тракторов с «лидером». Оператор звена будет управлять ведущим трактором, а остальные тракторы будут ориентироваться на него. В планах на 2025 год — создание полностью автономных тракторов.</w:t>
      </w:r>
    </w:p>
    <w:p w14:paraId="4B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Помимо того, что система позволяет сэкономить на топливе и человеческих ресурсах, она автоматически передаёт в мессенджеры владельцев тракторов отчеты о ходе работы. А также транслирует в системы управления предприятиями данные о состоянии машины и ходе работ с фото и видео.</w:t>
      </w:r>
    </w:p>
    <w:p w14:paraId="4C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Фермерство как услуга (</w:t>
      </w:r>
      <w:r>
        <w:rPr>
          <w:rFonts w:ascii="Times New Roman" w:hAnsi="Times New Roman"/>
          <w:sz w:val="28"/>
        </w:rPr>
        <w:t>Farming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as</w:t>
      </w:r>
      <w:r>
        <w:rPr>
          <w:rFonts w:ascii="Times New Roman" w:hAnsi="Times New Roman"/>
          <w:sz w:val="28"/>
        </w:rPr>
        <w:t>-a-</w:t>
      </w:r>
      <w:r>
        <w:rPr>
          <w:rFonts w:ascii="Times New Roman" w:hAnsi="Times New Roman"/>
          <w:sz w:val="28"/>
        </w:rPr>
        <w:t>Service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FaaS</w:t>
      </w:r>
      <w:r>
        <w:rPr>
          <w:rFonts w:ascii="Times New Roman" w:hAnsi="Times New Roman"/>
          <w:sz w:val="28"/>
        </w:rPr>
        <w:t>) — это вид облачной платформы, на которой провайдер предоставляет программное обеспечение для управления производством и сбытом сельскохозяйственной продукции.</w:t>
      </w:r>
    </w:p>
    <w:p w14:paraId="4D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Можно выделить три направления, в которых фермеры пользуются </w:t>
      </w:r>
      <w:r>
        <w:rPr>
          <w:rFonts w:ascii="Times New Roman" w:hAnsi="Times New Roman"/>
          <w:sz w:val="28"/>
        </w:rPr>
        <w:t>FaaS</w:t>
      </w:r>
      <w:r>
        <w:rPr>
          <w:rFonts w:ascii="Times New Roman" w:hAnsi="Times New Roman"/>
          <w:sz w:val="28"/>
        </w:rPr>
        <w:t>:</w:t>
      </w:r>
    </w:p>
    <w:p w14:paraId="4E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аналитика — сбор данных о состоянии почвы, урожая и погодных условиях, помощь в принятии решений и так далее;</w:t>
      </w:r>
    </w:p>
    <w:p w14:paraId="4F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производство — аренда сельскохозяйственной техники с оплатой по факту использования, помощь в выборе и закупке </w:t>
      </w:r>
      <w:r>
        <w:rPr>
          <w:rFonts w:ascii="Times New Roman" w:hAnsi="Times New Roman"/>
          <w:sz w:val="28"/>
        </w:rPr>
        <w:t>агрокультур</w:t>
      </w:r>
      <w:r>
        <w:rPr>
          <w:rFonts w:ascii="Times New Roman" w:hAnsi="Times New Roman"/>
          <w:sz w:val="28"/>
        </w:rPr>
        <w:t>;</w:t>
      </w:r>
    </w:p>
    <w:p w14:paraId="50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сбыт продукции — удобная коммуникация с потребителями из других регионов и стран без посредников.</w:t>
      </w:r>
    </w:p>
    <w:p w14:paraId="51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Особым спросом </w:t>
      </w:r>
      <w:r>
        <w:rPr>
          <w:rFonts w:ascii="Times New Roman" w:hAnsi="Times New Roman"/>
          <w:sz w:val="28"/>
        </w:rPr>
        <w:t>FaaS</w:t>
      </w:r>
      <w:r>
        <w:rPr>
          <w:rFonts w:ascii="Times New Roman" w:hAnsi="Times New Roman"/>
          <w:sz w:val="28"/>
        </w:rPr>
        <w:t>-приложения пользуются в вертикальном земледелии. Это вид растениеводства, в котором агрокультура выращивается в закрытом помещении и зачастую без почвы.</w:t>
      </w:r>
    </w:p>
    <w:p w14:paraId="52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Пример многообещающего </w:t>
      </w:r>
      <w:r>
        <w:rPr>
          <w:rFonts w:ascii="Times New Roman" w:hAnsi="Times New Roman"/>
          <w:sz w:val="28"/>
        </w:rPr>
        <w:t>FaaS-стартапа</w:t>
      </w:r>
      <w:r>
        <w:rPr>
          <w:rFonts w:ascii="Times New Roman" w:hAnsi="Times New Roman"/>
          <w:sz w:val="28"/>
        </w:rPr>
        <w:t xml:space="preserve">, по мнению зарубежных инвесторов, — греческая платформа </w:t>
      </w:r>
      <w:r>
        <w:rPr>
          <w:rFonts w:ascii="Times New Roman" w:hAnsi="Times New Roman"/>
          <w:sz w:val="28"/>
        </w:rPr>
        <w:t>AgroApps</w:t>
      </w:r>
      <w:r>
        <w:rPr>
          <w:rFonts w:ascii="Times New Roman" w:hAnsi="Times New Roman"/>
          <w:sz w:val="28"/>
        </w:rPr>
        <w:t>. На ней фермеры получают консультации, помощь в планировании сельскохозяйственного цикла, сезонные и краткосрочные прогнозы погоды с «высокой точностью». Кроме того, платформа помогает фермерам находить покупателей по всему миру.</w:t>
      </w:r>
    </w:p>
    <w:p w14:paraId="53000000">
      <w:pPr>
        <w:spacing w:line="36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>римен</w:t>
      </w:r>
      <w:r>
        <w:rPr>
          <w:rFonts w:ascii="Times New Roman" w:hAnsi="Times New Roman"/>
          <w:b w:val="1"/>
          <w:sz w:val="28"/>
        </w:rPr>
        <w:t>ение</w:t>
      </w:r>
      <w:r>
        <w:rPr>
          <w:rFonts w:ascii="Times New Roman" w:hAnsi="Times New Roman"/>
          <w:b w:val="1"/>
          <w:sz w:val="28"/>
        </w:rPr>
        <w:t xml:space="preserve"> IT-технологии в зарубежном сельском хозяйстве</w:t>
      </w:r>
    </w:p>
    <w:p w14:paraId="54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Мировые расходы на </w:t>
      </w:r>
      <w:r>
        <w:rPr>
          <w:rFonts w:ascii="Times New Roman" w:hAnsi="Times New Roman"/>
          <w:sz w:val="28"/>
        </w:rPr>
        <w:t>AgroTech</w:t>
      </w:r>
      <w:r>
        <w:rPr>
          <w:rFonts w:ascii="Times New Roman" w:hAnsi="Times New Roman"/>
          <w:sz w:val="28"/>
        </w:rPr>
        <w:t xml:space="preserve"> в 2025 году, по прогнозам аналитиков, могут вырасти втрое по сравнению с 2020 годом и достичь 15,3 млрд долларов. Это связано с описанной выше проблемой: нужно увеличивать количество производимой продукции при сильно ограниченных ресурсах. Опыт развитых стран показывает, как технологии могут повысить эффективность их использования.</w:t>
      </w:r>
    </w:p>
    <w:p w14:paraId="55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Например, в Японии только 15% территории пригодны для ведения сельского хозяйства. Поэтому страна делает ставку на </w:t>
      </w:r>
      <w:r>
        <w:rPr>
          <w:rFonts w:ascii="Times New Roman" w:hAnsi="Times New Roman"/>
          <w:sz w:val="28"/>
        </w:rPr>
        <w:t>IoT</w:t>
      </w:r>
      <w:r>
        <w:rPr>
          <w:rFonts w:ascii="Times New Roman" w:hAnsi="Times New Roman"/>
          <w:sz w:val="28"/>
        </w:rPr>
        <w:t xml:space="preserve">, большие данные и роботизацию. Один из ярких проектов — </w:t>
      </w:r>
      <w:r>
        <w:rPr>
          <w:rFonts w:ascii="Times New Roman" w:hAnsi="Times New Roman"/>
          <w:sz w:val="28"/>
        </w:rPr>
        <w:t>GyuHo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SaaS</w:t>
      </w:r>
      <w:r>
        <w:rPr>
          <w:rFonts w:ascii="Times New Roman" w:hAnsi="Times New Roman"/>
          <w:sz w:val="28"/>
        </w:rPr>
        <w:t xml:space="preserve"> («шагающая корова»), или </w:t>
      </w:r>
      <w:r>
        <w:rPr>
          <w:rFonts w:ascii="Times New Roman" w:hAnsi="Times New Roman"/>
          <w:sz w:val="28"/>
        </w:rPr>
        <w:t>Connected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Cow</w:t>
      </w:r>
      <w:r>
        <w:rPr>
          <w:rFonts w:ascii="Times New Roman" w:hAnsi="Times New Roman"/>
          <w:sz w:val="28"/>
        </w:rPr>
        <w:t xml:space="preserve"> («подключённая корова»).</w:t>
      </w:r>
    </w:p>
    <w:p w14:paraId="56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каждое животное надевается браслет, который считает, сколько шагов корова сделала за день. Полученные данные помогают понять, здорова ли корова, и определить подходящий момент для зачатия телят — в этот период число шагов, сделанных коровой, многократно увеличивается. По данным разработчиков, успешность оплодотворения возрастает с 44% до 90%. Система также на 70 % даёт возможность выбрать пол будущих телят.</w:t>
      </w:r>
    </w:p>
    <w:p w14:paraId="57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Другой пример — ферма </w:t>
      </w:r>
      <w:r>
        <w:rPr>
          <w:rFonts w:ascii="Times New Roman" w:hAnsi="Times New Roman"/>
          <w:sz w:val="28"/>
        </w:rPr>
        <w:t>Hands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Free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Hectare</w:t>
      </w:r>
      <w:r>
        <w:rPr>
          <w:rFonts w:ascii="Times New Roman" w:hAnsi="Times New Roman"/>
          <w:sz w:val="28"/>
        </w:rPr>
        <w:t xml:space="preserve"> в Великобритании. Там автоматизированы все процессы: от посева до сбора урожая. В поле работают только </w:t>
      </w:r>
      <w:r>
        <w:rPr>
          <w:rFonts w:ascii="Times New Roman" w:hAnsi="Times New Roman"/>
          <w:sz w:val="28"/>
        </w:rPr>
        <w:t>дроны</w:t>
      </w:r>
      <w:r>
        <w:rPr>
          <w:rFonts w:ascii="Times New Roman" w:hAnsi="Times New Roman"/>
          <w:sz w:val="28"/>
        </w:rPr>
        <w:t xml:space="preserve"> и модифицированные тракторы, а персонал контролирует их работу из диспетчерской. Машины собирают 4,5 т ячменя на площади в 2,5 га.</w:t>
      </w:r>
    </w:p>
    <w:p w14:paraId="58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Дроны</w:t>
      </w:r>
      <w:r>
        <w:rPr>
          <w:rFonts w:ascii="Times New Roman" w:hAnsi="Times New Roman"/>
          <w:sz w:val="28"/>
        </w:rPr>
        <w:t xml:space="preserve"> оборудованы мультиспектральными датчиками, которые выполняют детальную съёмку сельхозугодий. Специальные машины берут </w:t>
      </w:r>
      <w:r>
        <w:rPr>
          <w:rFonts w:ascii="Times New Roman" w:hAnsi="Times New Roman"/>
          <w:sz w:val="28"/>
        </w:rPr>
        <w:t>образцы земли для оценки её состояния и подбора минеральных удобрений. Посев также полностью отлажен, а камеры вовремя предупреждают о вредителях и сорняках.</w:t>
      </w:r>
    </w:p>
    <w:p w14:paraId="59000000">
      <w:pPr>
        <w:spacing w:line="360" w:lineRule="auto"/>
        <w:ind w:firstLine="708" w:left="143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>римен</w:t>
      </w:r>
      <w:r>
        <w:rPr>
          <w:rFonts w:ascii="Times New Roman" w:hAnsi="Times New Roman"/>
          <w:b w:val="1"/>
          <w:sz w:val="28"/>
        </w:rPr>
        <w:t>ение</w:t>
      </w:r>
      <w:r>
        <w:rPr>
          <w:rFonts w:ascii="Times New Roman" w:hAnsi="Times New Roman"/>
          <w:b w:val="1"/>
          <w:sz w:val="28"/>
        </w:rPr>
        <w:t xml:space="preserve"> IT-технологии в </w:t>
      </w:r>
      <w:r>
        <w:rPr>
          <w:rFonts w:ascii="Times New Roman" w:hAnsi="Times New Roman"/>
          <w:b w:val="1"/>
          <w:sz w:val="28"/>
        </w:rPr>
        <w:t>отечественном</w:t>
      </w:r>
      <w:r>
        <w:rPr>
          <w:rFonts w:ascii="Times New Roman" w:hAnsi="Times New Roman"/>
          <w:b w:val="1"/>
          <w:sz w:val="28"/>
        </w:rPr>
        <w:t xml:space="preserve"> сельском хозяйстве</w:t>
      </w:r>
    </w:p>
    <w:p w14:paraId="5A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большому счёту, главный драйвер развития технологий в отечественном сельском хозяйстве — государство. В 2022 году Правительство РФ пообещало выделить более 900 млн рублей на </w:t>
      </w:r>
      <w:r>
        <w:rPr>
          <w:rFonts w:ascii="Times New Roman" w:hAnsi="Times New Roman"/>
          <w:sz w:val="28"/>
        </w:rPr>
        <w:t>цифровизацию</w:t>
      </w:r>
      <w:r>
        <w:rPr>
          <w:rFonts w:ascii="Times New Roman" w:hAnsi="Times New Roman"/>
          <w:sz w:val="28"/>
        </w:rPr>
        <w:t xml:space="preserve"> АПК. А в этом году Минэкономразвития внесло сельское хозяйство в список приоритетных направлений для внедрения ИИ. На сегодняшний день уровень внедрения составляет около 20%.</w:t>
      </w:r>
    </w:p>
    <w:p w14:paraId="5B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Другой </w:t>
      </w:r>
      <w:r>
        <w:rPr>
          <w:rFonts w:ascii="Times New Roman" w:hAnsi="Times New Roman"/>
          <w:sz w:val="28"/>
        </w:rPr>
        <w:t>амбассадор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агротеха</w:t>
      </w:r>
      <w:r>
        <w:rPr>
          <w:rFonts w:ascii="Times New Roman" w:hAnsi="Times New Roman"/>
          <w:sz w:val="28"/>
        </w:rPr>
        <w:t xml:space="preserve"> в России, также связанный с государством, — </w:t>
      </w:r>
      <w:r>
        <w:rPr>
          <w:rFonts w:ascii="Times New Roman" w:hAnsi="Times New Roman"/>
          <w:sz w:val="28"/>
        </w:rPr>
        <w:t>Россельхозбанк</w:t>
      </w:r>
      <w:r>
        <w:rPr>
          <w:rFonts w:ascii="Times New Roman" w:hAnsi="Times New Roman"/>
          <w:sz w:val="28"/>
        </w:rPr>
        <w:t xml:space="preserve">. К 2020 году вокруг него выстроилась целая экосистема </w:t>
      </w:r>
      <w:r>
        <w:rPr>
          <w:rFonts w:ascii="Times New Roman" w:hAnsi="Times New Roman"/>
          <w:sz w:val="28"/>
        </w:rPr>
        <w:t>AgroTech</w:t>
      </w:r>
      <w:r>
        <w:rPr>
          <w:rFonts w:ascii="Times New Roman" w:hAnsi="Times New Roman"/>
          <w:sz w:val="28"/>
        </w:rPr>
        <w:t xml:space="preserve">-сервисов, среди которых сайт для поиска работы и сервис для заказа </w:t>
      </w:r>
      <w:r>
        <w:rPr>
          <w:rFonts w:ascii="Times New Roman" w:hAnsi="Times New Roman"/>
          <w:sz w:val="28"/>
        </w:rPr>
        <w:t>агротуров</w:t>
      </w:r>
      <w:r>
        <w:rPr>
          <w:rFonts w:ascii="Times New Roman" w:hAnsi="Times New Roman"/>
          <w:sz w:val="28"/>
        </w:rPr>
        <w:t>. И в центре всего этого — платформа «Своё Фермерство», на которой предприятия АПК и индивидуальные фермеры могут найти покупателей своей продукции, подобрать сотрудников и получить льготное финансирование.</w:t>
      </w:r>
    </w:p>
    <w:p w14:paraId="5C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марте 2022 года банк запустил образовательный проект «РСХБ в цифре». На его базе проходят конференции, обучающие курсы и стажировки для начинающих IT-специалистов, менеджеров и предпринимателей в области СХ.</w:t>
      </w:r>
    </w:p>
    <w:p w14:paraId="5D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Крупные игроки уверены, что отрасль в ближайшем будущем ожидает уверенный рост. И к 2030 году сельское хозяйство станет самой привлекательной отраслью для IT-специалистов.</w:t>
      </w:r>
    </w:p>
    <w:p w14:paraId="5E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Правда в регионах пока редко можно встретить интеллектуальные системы управления фермами, ИИ и пресловутую «</w:t>
      </w:r>
      <w:r>
        <w:rPr>
          <w:rFonts w:ascii="Times New Roman" w:hAnsi="Times New Roman"/>
          <w:sz w:val="28"/>
        </w:rPr>
        <w:t>бигдату</w:t>
      </w:r>
      <w:r>
        <w:rPr>
          <w:rFonts w:ascii="Times New Roman" w:hAnsi="Times New Roman"/>
          <w:sz w:val="28"/>
        </w:rPr>
        <w:t>». Внедрение технологий, в основном, ограничивается механизацией и автоматизацией рутинных действий.</w:t>
      </w:r>
    </w:p>
    <w:p w14:paraId="5F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Например, в СПК «</w:t>
      </w:r>
      <w:r>
        <w:rPr>
          <w:rFonts w:ascii="Times New Roman" w:hAnsi="Times New Roman"/>
          <w:sz w:val="28"/>
        </w:rPr>
        <w:t>Коелгинское</w:t>
      </w:r>
      <w:r>
        <w:rPr>
          <w:rFonts w:ascii="Times New Roman" w:hAnsi="Times New Roman"/>
          <w:sz w:val="28"/>
        </w:rPr>
        <w:t xml:space="preserve">» в Челябинской области в прошлом году ввели в эксплуатацию доильно-молочный блок с доильной установкой карусельного типа на 50 мест. Стоимость установки — 400 млн рублей, производство — немецкой компании </w:t>
      </w:r>
      <w:r>
        <w:rPr>
          <w:rFonts w:ascii="Times New Roman" w:hAnsi="Times New Roman"/>
          <w:sz w:val="28"/>
        </w:rPr>
        <w:t>Westfalia</w:t>
      </w:r>
      <w:r>
        <w:rPr>
          <w:rFonts w:ascii="Times New Roman" w:hAnsi="Times New Roman"/>
          <w:sz w:val="28"/>
        </w:rPr>
        <w:t>. В июле этого года будет сдан ещё один на 70 мест.</w:t>
      </w:r>
    </w:p>
    <w:p w14:paraId="60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Многие аграрии пока не могут себе позволить строить доильные залы, поэтому и производительность труда заметно ниже, чем в зарубежных странах.</w:t>
      </w:r>
    </w:p>
    <w:p w14:paraId="61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</w:t>
      </w:r>
      <w:r>
        <w:rPr>
          <w:rFonts w:ascii="XO Thames" w:hAnsi="XO Thames"/>
          <w:sz w:val="28"/>
        </w:rPr>
        <w:t>в</w:t>
      </w:r>
      <w:r>
        <w:rPr>
          <w:rFonts w:ascii="XO Thames" w:hAnsi="XO Thames"/>
          <w:sz w:val="28"/>
        </w:rPr>
        <w:t xml:space="preserve"> нашей стране в последние годы были внедрены для обязательного использования в работе для сельхозпроизводителей следующие государственные информационные системы: ФГИС «Сатурн», ФГИС «Зерно», ФГИС «Меркурий», ФГИС «Цербер»</w:t>
      </w:r>
      <w:r>
        <w:rPr>
          <w:rFonts w:ascii="Times New Roman" w:hAnsi="Times New Roman"/>
          <w:sz w:val="28"/>
        </w:rPr>
        <w:t>.</w:t>
      </w:r>
    </w:p>
    <w:p w14:paraId="62000000">
      <w:pPr>
        <w:spacing w:line="360" w:lineRule="auto"/>
        <w:ind w:firstLine="851" w:left="0"/>
        <w:jc w:val="both"/>
        <w:rPr>
          <w:rFonts w:ascii="Times New Roman" w:hAnsi="Times New Roman"/>
          <w:b w:val="1"/>
          <w:sz w:val="28"/>
        </w:rPr>
      </w:pPr>
    </w:p>
    <w:p w14:paraId="63000000">
      <w:pPr>
        <w:spacing w:line="360" w:lineRule="auto"/>
        <w:ind w:firstLine="851" w:left="0"/>
        <w:jc w:val="both"/>
        <w:rPr>
          <w:rFonts w:ascii="Times New Roman" w:hAnsi="Times New Roman"/>
          <w:b w:val="1"/>
          <w:sz w:val="28"/>
        </w:rPr>
      </w:pPr>
    </w:p>
    <w:p w14:paraId="64000000">
      <w:pPr>
        <w:spacing w:after="160" w:line="264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br w:type="page"/>
      </w:r>
    </w:p>
    <w:p w14:paraId="65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Программа справки и планирования полевых рабо</w:t>
      </w:r>
      <w:r>
        <w:rPr>
          <w:rFonts w:ascii="Times New Roman" w:hAnsi="Times New Roman"/>
          <w:b w:val="1"/>
          <w:sz w:val="28"/>
        </w:rPr>
        <w:t>т «</w:t>
      </w:r>
      <w:r>
        <w:rPr>
          <w:rFonts w:ascii="Times New Roman" w:hAnsi="Times New Roman"/>
          <w:b w:val="1"/>
          <w:sz w:val="28"/>
        </w:rPr>
        <w:t xml:space="preserve">Календарь полей ИП КФХ </w:t>
      </w:r>
      <w:r>
        <w:rPr>
          <w:rFonts w:ascii="Times New Roman" w:hAnsi="Times New Roman"/>
          <w:b w:val="1"/>
          <w:sz w:val="28"/>
        </w:rPr>
        <w:t>Столбтн</w:t>
      </w:r>
      <w:r>
        <w:rPr>
          <w:rFonts w:ascii="Times New Roman" w:hAnsi="Times New Roman"/>
          <w:b w:val="1"/>
          <w:sz w:val="28"/>
        </w:rPr>
        <w:t>»</w:t>
      </w:r>
    </w:p>
    <w:p w14:paraId="66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Назначение разработанной программы заключается в предоставлении пользователю возможности удобного внесения и просмотра проведенных и планируе</w:t>
      </w:r>
      <w:r>
        <w:rPr>
          <w:rFonts w:ascii="Times New Roman" w:hAnsi="Times New Roman"/>
          <w:sz w:val="28"/>
        </w:rPr>
        <w:t>мых</w:t>
      </w:r>
      <w:r>
        <w:rPr>
          <w:rFonts w:ascii="Times New Roman" w:hAnsi="Times New Roman"/>
          <w:sz w:val="28"/>
        </w:rPr>
        <w:t xml:space="preserve"> работ</w:t>
      </w:r>
      <w:r>
        <w:rPr>
          <w:rFonts w:ascii="Times New Roman" w:hAnsi="Times New Roman"/>
          <w:sz w:val="28"/>
        </w:rPr>
        <w:t>, а также предоставления справочных данных по наиболее популярным сельскохозяйственным культурам.</w:t>
      </w:r>
    </w:p>
    <w:p w14:paraId="67000000">
      <w:pPr>
        <w:spacing w:line="360" w:lineRule="auto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Сущность планирования </w:t>
      </w:r>
    </w:p>
    <w:p w14:paraId="68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рассмотрим в чем заключается главная задача разработан</w:t>
      </w:r>
      <w:r>
        <w:rPr>
          <w:rFonts w:ascii="Times New Roman" w:hAnsi="Times New Roman"/>
          <w:sz w:val="28"/>
        </w:rPr>
        <w:t xml:space="preserve">ной программы, что представляет из себя планирование и почему оно </w:t>
      </w:r>
      <w:r>
        <w:rPr>
          <w:rFonts w:ascii="Times New Roman" w:hAnsi="Times New Roman"/>
          <w:sz w:val="28"/>
        </w:rPr>
        <w:t>занимет</w:t>
      </w:r>
      <w:r>
        <w:rPr>
          <w:rFonts w:ascii="Times New Roman" w:hAnsi="Times New Roman"/>
          <w:sz w:val="28"/>
        </w:rPr>
        <w:t xml:space="preserve"> важное место в сельском хозяйстве.</w:t>
      </w:r>
    </w:p>
    <w:p w14:paraId="69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Процесс планирования проходит 4 этапа: </w:t>
      </w:r>
    </w:p>
    <w:p w14:paraId="6A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разработку общих целей </w:t>
      </w:r>
    </w:p>
    <w:p w14:paraId="6B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определение конкретных, детализированных целей на заданный период </w:t>
      </w:r>
    </w:p>
    <w:p w14:paraId="6C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определение путей и средств их достижения </w:t>
      </w:r>
    </w:p>
    <w:p w14:paraId="6D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контроль за достижением поставленных целей путем сопоставления плановых показателей с фактическими и корректировку целей </w:t>
      </w:r>
    </w:p>
    <w:p w14:paraId="6E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Планирование всегда опирается на данные прошлых периодов деятельности предприятия. Оно осуществляется для того, чтобы определять и контролировать развитие предприятия в перспективе. Поэтому надежность плана зависит от точности фактических показателей прошлых периодов. [2] </w:t>
      </w:r>
    </w:p>
    <w:p w14:paraId="6F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Чтобы эффективно управлять ростом и развитием растений, получать высокие устойчивые урожаи с лучшим качеством в каждом хозяйстве, необходимо использовать все способы и возможности: учитывать почвенно-климатические и экономические условия хозяйства, происхождение растений, особенности их морфологии, биологии и технологии выращивания. [8] </w:t>
      </w:r>
    </w:p>
    <w:p w14:paraId="70000000">
      <w:pPr>
        <w:spacing w:line="360" w:lineRule="auto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Принципы планирования </w:t>
      </w:r>
    </w:p>
    <w:p w14:paraId="71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Существует несколько основных принципов планирования. Среди них можно выделить принципы научной обоснованности, единства политики и экономики, демократического централизма, реальности и напряженности планов, единства и непрерывности планирования, пропорциональности и сбалансированности, повседневного контроля за выполнением планов. </w:t>
      </w:r>
    </w:p>
    <w:p w14:paraId="72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Одним из принципов планирования является научная обоснованность. Планы в сельскохозяйственном производстве составляются на научной основе с учетом экономических законов и закономерностей развития производства. Процесс планирования должен опираться на достижение науки и передовой опыт, содействовать ускоренному внедрению их в производство. </w:t>
      </w:r>
    </w:p>
    <w:p w14:paraId="73000000">
      <w:pPr>
        <w:spacing w:line="360" w:lineRule="auto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Содержание и задачи планирования растениеводства </w:t>
      </w:r>
    </w:p>
    <w:p w14:paraId="74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Важнейшим показателем системы ведения растениеводства является урожайность сельскохозяйственных культур, уровень которой прогнозируется и планируется с использованием метода экспертных оценок, формализованных методов, на основе составления почвенных картограмм и баланса питательных веществ с учетом расчета их значений для получения минимальной урожайности; на основе результатов опытных данных и с использованием других методов. </w:t>
      </w:r>
    </w:p>
    <w:p w14:paraId="75000000">
      <w:pPr>
        <w:spacing w:line="360" w:lineRule="auto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Описание работы программы</w:t>
      </w:r>
    </w:p>
    <w:p w14:paraId="76000000">
      <w:p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результате компилятором </w:t>
      </w:r>
      <w:r>
        <w:rPr>
          <w:rFonts w:ascii="Times New Roman" w:hAnsi="Times New Roman"/>
          <w:sz w:val="28"/>
        </w:rPr>
        <w:t>MinGW</w:t>
      </w:r>
      <w:r>
        <w:rPr>
          <w:rFonts w:ascii="Times New Roman" w:hAnsi="Times New Roman"/>
          <w:sz w:val="28"/>
        </w:rPr>
        <w:t xml:space="preserve">-64 </w:t>
      </w:r>
      <w:r>
        <w:rPr>
          <w:rFonts w:ascii="Times New Roman" w:hAnsi="Times New Roman"/>
          <w:sz w:val="28"/>
        </w:rPr>
        <w:t>был собран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исполняемый файл-</w:t>
      </w:r>
      <w:r>
        <w:rPr>
          <w:rFonts w:ascii="Times New Roman" w:hAnsi="Times New Roman"/>
          <w:sz w:val="28"/>
        </w:rPr>
        <w:t>exe</w:t>
      </w:r>
      <w:r>
        <w:rPr>
          <w:rFonts w:ascii="Times New Roman" w:hAnsi="Times New Roman"/>
          <w:sz w:val="28"/>
        </w:rPr>
        <w:t xml:space="preserve"> «Календарь полей ИП КФХ </w:t>
      </w:r>
      <w:r>
        <w:rPr>
          <w:rFonts w:ascii="Times New Roman" w:hAnsi="Times New Roman"/>
          <w:sz w:val="28"/>
        </w:rPr>
        <w:t>Столбтн</w:t>
      </w:r>
      <w:r>
        <w:rPr>
          <w:rFonts w:ascii="Times New Roman" w:hAnsi="Times New Roman"/>
          <w:sz w:val="28"/>
        </w:rPr>
        <w:t>» для корректного функционирования программы в папку с исполняемым файлом были собраны все необходимые фалы-</w:t>
      </w:r>
      <w:r>
        <w:rPr>
          <w:rFonts w:ascii="Times New Roman" w:hAnsi="Times New Roman"/>
          <w:sz w:val="28"/>
        </w:rPr>
        <w:t>dll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Скриншот папки с исполняемым файлом и зависимостями приведен на рисунке 1.</w:t>
      </w:r>
    </w:p>
    <w:p w14:paraId="77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049486" cy="303614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4049486" cy="303614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78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1 – Папка с исполняемым файлом и зависимостями</w:t>
      </w:r>
    </w:p>
    <w:p w14:paraId="79000000">
      <w:p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стартовом окне программы приведено 4 наиболее распространенные для нашего региона сельхоз культуры и пункт добавления пользовательских культур. Стартовое окно программы приведено на рисунке 2</w:t>
      </w:r>
    </w:p>
    <w:p w14:paraId="7A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drawing>
          <wp:inline>
            <wp:extent cx="3711388" cy="2616081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3711388" cy="261608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7B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2 – Стартовое окно программы</w:t>
      </w:r>
    </w:p>
    <w:p w14:paraId="7C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Выбрав одну из базовых культур программы предложит выбрать сезон выполняемых работ. Окно выбора сезона приведено на рисунке 3.</w:t>
      </w:r>
    </w:p>
    <w:p w14:paraId="7D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726755" cy="2556999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3726755" cy="255699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7E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3 – Окно выбора сезона</w:t>
      </w:r>
    </w:p>
    <w:p w14:paraId="7F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сезона необходимо указать площадь возделываемого поля. Окно указания площади возделываемого поля приведено на рисунке 4.</w:t>
      </w:r>
    </w:p>
    <w:p w14:paraId="80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drawing>
          <wp:inline>
            <wp:extent cx="3903488" cy="2618421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3903488" cy="261842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1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4 – Окно указания площади</w:t>
      </w:r>
    </w:p>
    <w:p w14:paraId="82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будет выведена справка с наименованиями необходимых работ, сроками их проведения и количеством расходных материалов для обрабатываемой площади. Окно со справкой по выбранной культуре приведено на рисунке 5</w:t>
      </w:r>
    </w:p>
    <w:p w14:paraId="83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drawing>
          <wp:inline>
            <wp:extent cx="3865069" cy="1923345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3865069" cy="192334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4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5 – Окно со справкой</w:t>
      </w:r>
    </w:p>
    <w:p w14:paraId="85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пользователь выберит пункт добавления новой культуры, появится окно в котором необходимо выбрать директорию в которой будут сохраняться вносимые данные. Окно выбра директории приведено на рисунке 6</w:t>
      </w:r>
    </w:p>
    <w:p w14:paraId="86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5401971" cy="2212758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tretch/>
                  </pic:blipFill>
                  <pic:spPr>
                    <a:xfrm flipH="false" flipV="false" rot="0">
                      <a:ext cx="5401971" cy="221275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7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Рисунок 6 – </w:t>
      </w:r>
      <w:r>
        <w:rPr>
          <w:rFonts w:ascii="Times New Roman" w:hAnsi="Times New Roman"/>
          <w:sz w:val="28"/>
        </w:rPr>
        <w:t>Окно выбра директории</w:t>
      </w:r>
    </w:p>
    <w:p w14:paraId="88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следующем окне нужно ввести наименование культуры – рисунок 7.</w:t>
      </w:r>
    </w:p>
    <w:p w14:paraId="8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5940425" cy="2433320"/>
            <wp:effectExtent b="0" l="0" r="0" t="0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7"/>
                    <a:stretch/>
                  </pic:blipFill>
                  <pic:spPr>
                    <a:xfrm flipH="false" flipV="false" rot="0">
                      <a:ext cx="5940425" cy="24333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A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7 – Окно ввода наименование культуры</w:t>
      </w:r>
    </w:p>
    <w:p w14:paraId="8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следующем окне нужно ввести сезон работ, проводимых по этой культуре. Окно выбора сезона приведено на рисунке 8.</w:t>
      </w:r>
    </w:p>
    <w:p w14:paraId="8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5940425" cy="2433320"/>
            <wp:effectExtent b="0" l="0" r="0" t="0"/>
            <wp:docPr hidden="false" id="16" name="Picture 16"/>
            <a:graphic>
              <a:graphicData uri="http://schemas.openxmlformats.org/drawingml/2006/picture">
                <pic:pic>
                  <pic:nvPicPr>
                    <pic:cNvPr hidden="false" id="15" name="Picture 15"/>
                    <pic:cNvPicPr preferRelativeResize="true"/>
                  </pic:nvPicPr>
                  <pic:blipFill>
                    <a:blip r:embed="rId8"/>
                    <a:stretch/>
                  </pic:blipFill>
                  <pic:spPr>
                    <a:xfrm flipH="false" flipV="false" rot="0">
                      <a:ext cx="5940425" cy="24333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D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8 – Окно выбора сезона</w:t>
      </w:r>
    </w:p>
    <w:p w14:paraId="8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нужно ввести сроки проведения работы – рисунок 9.</w:t>
      </w:r>
    </w:p>
    <w:p w14:paraId="8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5940425" cy="2433320"/>
            <wp:effectExtent b="0" l="0" r="0" t="0"/>
            <wp:docPr hidden="false" id="18" name="Picture 18"/>
            <a:graphic>
              <a:graphicData uri="http://schemas.openxmlformats.org/drawingml/2006/picture">
                <pic:pic>
                  <pic:nvPicPr>
                    <pic:cNvPr hidden="false" id="17" name="Picture 17"/>
                    <pic:cNvPicPr preferRelativeResize="true"/>
                  </pic:nvPicPr>
                  <pic:blipFill>
                    <a:blip r:embed="rId9"/>
                    <a:stretch/>
                  </pic:blipFill>
                  <pic:spPr>
                    <a:xfrm flipH="false" flipV="false" rot="0">
                      <a:ext cx="5940425" cy="24333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0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9 – Окно ввода сроков проведения работы</w:t>
      </w:r>
    </w:p>
    <w:p w14:paraId="9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Следующее идет окно ввода наименования проводимой работы – рисунок 10.</w:t>
      </w:r>
    </w:p>
    <w:p w14:paraId="9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5940425" cy="2433320"/>
            <wp:effectExtent b="0" l="0" r="0" t="0"/>
            <wp:docPr hidden="false" id="20" name="Picture 20"/>
            <a:graphic>
              <a:graphicData uri="http://schemas.openxmlformats.org/drawingml/2006/picture">
                <pic:pic>
                  <pic:nvPicPr>
                    <pic:cNvPr hidden="false" id="19" name="Picture 19"/>
                    <pic:cNvPicPr preferRelativeResize="true"/>
                  </pic:nvPicPr>
                  <pic:blipFill>
                    <a:blip r:embed="rId10"/>
                    <a:stretch/>
                  </pic:blipFill>
                  <pic:spPr>
                    <a:xfrm flipH="false" flipV="false" rot="0">
                      <a:ext cx="5940425" cy="24333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3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10 – Окно ввода наименования проводимой работы</w:t>
      </w:r>
    </w:p>
    <w:p w14:paraId="9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Затем нужно ввести наименование расходного материала, применяемого в данном виде работы. Если при проведении работы расходуется несколько различных ресурсов нужно ввести те же сроки и наименование работы, изменить только то, что касается расходного материала. Окно ввода наименование расходного материала приведено на рисунке 11.</w:t>
      </w:r>
    </w:p>
    <w:p w14:paraId="9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0</wp:posOffset>
            </wp:positionH>
            <wp:positionV relativeFrom="paragraph">
              <wp:posOffset>360680</wp:posOffset>
            </wp:positionV>
            <wp:extent cx="5940425" cy="2433320"/>
            <wp:effectExtent b="0" l="0" r="0" t="0"/>
            <wp:wrapSquare distB="0" distL="114300" distR="114300" distT="0" wrapText="bothSides"/>
            <wp:docPr hidden="false" id="22" name="Picture 22"/>
            <a:graphic>
              <a:graphicData uri="http://schemas.openxmlformats.org/drawingml/2006/picture">
                <pic:pic>
                  <pic:nvPicPr>
                    <pic:cNvPr hidden="false" id="21" name="Picture 21"/>
                    <pic:cNvPicPr preferRelativeResize="true"/>
                  </pic:nvPicPr>
                  <pic:blipFill>
                    <a:blip r:embed="rId11"/>
                    <a:stretch/>
                  </pic:blipFill>
                  <pic:spPr>
                    <a:xfrm flipH="false" flipV="false" rot="0">
                      <a:ext cx="5940425" cy="24333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96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11 – Окно ввода наименования расходного материала</w:t>
      </w:r>
    </w:p>
    <w:p w14:paraId="97000000">
      <w:pPr>
        <w:tabs>
          <w:tab w:leader="none" w:pos="196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нужно ввести расход введенного ранее ресурса из расчета на 1 га. Окно ввода расхода приведено на рисунке 12.</w:t>
      </w:r>
    </w:p>
    <w:p w14:paraId="98000000">
      <w:pPr>
        <w:tabs>
          <w:tab w:leader="none" w:pos="966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5940425" cy="2433320"/>
            <wp:effectExtent b="0" l="0" r="0" t="0"/>
            <wp:docPr hidden="false" id="24" name="Picture 24"/>
            <a:graphic>
              <a:graphicData uri="http://schemas.openxmlformats.org/drawingml/2006/picture">
                <pic:pic>
                  <pic:nvPicPr>
                    <pic:cNvPr hidden="false" id="23" name="Picture 23"/>
                    <pic:cNvPicPr preferRelativeResize="true"/>
                  </pic:nvPicPr>
                  <pic:blipFill>
                    <a:blip r:embed="rId12"/>
                    <a:stretch/>
                  </pic:blipFill>
                  <pic:spPr>
                    <a:xfrm flipH="false" flipV="false" rot="0">
                      <a:ext cx="5940425" cy="24333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9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12 – Окно ввода расхода на 1 га</w:t>
      </w:r>
    </w:p>
    <w:p w14:paraId="9A000000">
      <w:pPr>
        <w:tabs>
          <w:tab w:leader="none" w:pos="196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 из выполняемых для выращивания культуры работ введена. Далее программа предоставляет возможность введения следующих работ, выполняемых по вводимой культуре в выбранном сезоне. При нажатии на кнопку ввода новой работы последовательно будут появляться окна приведенные на рисунках 9-13. При нажатии на кнопку завершить программа завершится. Окно завершения приведено на рисунке 13.</w:t>
      </w:r>
    </w:p>
    <w:p w14:paraId="9B000000">
      <w:pPr>
        <w:tabs>
          <w:tab w:leader="none" w:pos="1965" w:val="left"/>
        </w:tabs>
        <w:ind/>
        <w:rPr>
          <w:rFonts w:ascii="Times New Roman" w:hAnsi="Times New Roman"/>
          <w:sz w:val="28"/>
        </w:rPr>
      </w:pPr>
    </w:p>
    <w:p w14:paraId="9C000000">
      <w:pPr>
        <w:tabs>
          <w:tab w:leader="none" w:pos="196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549615" cy="1863616"/>
            <wp:effectExtent b="0" l="0" r="0" t="0"/>
            <wp:docPr hidden="false" id="26" name="Picture 26"/>
            <a:graphic>
              <a:graphicData uri="http://schemas.openxmlformats.org/drawingml/2006/picture">
                <pic:pic>
                  <pic:nvPicPr>
                    <pic:cNvPr hidden="false" id="25" name="Picture 25"/>
                    <pic:cNvPicPr preferRelativeResize="true"/>
                  </pic:nvPicPr>
                  <pic:blipFill>
                    <a:blip r:embed="rId13"/>
                    <a:stretch/>
                  </pic:blipFill>
                  <pic:spPr>
                    <a:xfrm flipH="false" flipV="false" rot="0">
                      <a:ext cx="4549615" cy="186361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D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13 – Окно завершения</w:t>
      </w:r>
    </w:p>
    <w:p w14:paraId="9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повторном запуске программы на стартовом окне появится введенная пользователям культура – рисунок 14</w:t>
      </w:r>
    </w:p>
    <w:p w14:paraId="9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912553" cy="3290101"/>
            <wp:effectExtent b="0" l="0" r="0" t="0"/>
            <wp:docPr hidden="false" id="28" name="Picture 28"/>
            <a:graphic>
              <a:graphicData uri="http://schemas.openxmlformats.org/drawingml/2006/picture">
                <pic:pic>
                  <pic:nvPicPr>
                    <pic:cNvPr hidden="false" id="27" name="Picture 27"/>
                    <pic:cNvPicPr preferRelativeResize="true"/>
                  </pic:nvPicPr>
                  <pic:blipFill>
                    <a:blip r:embed="rId14"/>
                    <a:stretch/>
                  </pic:blipFill>
                  <pic:spPr>
                    <a:xfrm flipH="false" flipV="false" rot="0">
                      <a:ext cx="3912553" cy="329010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0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14 – Стартовое окно с пользовательской культурой</w:t>
      </w:r>
    </w:p>
    <w:p w14:paraId="A1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выборе пользовательской культуры, указании введенного ранее сезона работ и указании площади поля (рисунок 15) будет введена </w:t>
      </w:r>
      <w:r>
        <w:rPr>
          <w:rFonts w:ascii="Times New Roman" w:hAnsi="Times New Roman"/>
          <w:sz w:val="28"/>
        </w:rPr>
        <w:t>справка с данными</w:t>
      </w:r>
      <w:r>
        <w:rPr>
          <w:rFonts w:ascii="Times New Roman" w:hAnsi="Times New Roman"/>
          <w:sz w:val="28"/>
        </w:rPr>
        <w:t xml:space="preserve"> внесенными пользователем ранее (рисунок 16).</w:t>
      </w:r>
    </w:p>
    <w:p w14:paraId="A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2836662" cy="2385375"/>
            <wp:effectExtent b="0" l="0" r="0" t="0"/>
            <wp:docPr hidden="false" id="30" name="Picture 30"/>
            <a:graphic>
              <a:graphicData uri="http://schemas.openxmlformats.org/drawingml/2006/picture">
                <pic:pic>
                  <pic:nvPicPr>
                    <pic:cNvPr hidden="false" id="29" name="Picture 29"/>
                    <pic:cNvPicPr preferRelativeResize="true"/>
                  </pic:nvPicPr>
                  <pic:blipFill>
                    <a:blip r:embed="rId15"/>
                    <a:stretch/>
                  </pic:blipFill>
                  <pic:spPr>
                    <a:xfrm flipH="false" flipV="false" rot="0">
                      <a:ext cx="2836662" cy="23853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drawing>
          <wp:inline>
            <wp:extent cx="2836545" cy="2385276"/>
            <wp:effectExtent b="0" l="0" r="0" t="0"/>
            <wp:docPr hidden="false" id="32" name="Picture 32"/>
            <a:graphic>
              <a:graphicData uri="http://schemas.openxmlformats.org/drawingml/2006/picture">
                <pic:pic>
                  <pic:nvPicPr>
                    <pic:cNvPr hidden="false" id="31" name="Picture 31"/>
                    <pic:cNvPicPr preferRelativeResize="true"/>
                  </pic:nvPicPr>
                  <pic:blipFill>
                    <a:blip r:embed="rId16"/>
                    <a:stretch/>
                  </pic:blipFill>
                  <pic:spPr>
                    <a:xfrm flipH="false" flipV="false" rot="0">
                      <a:ext cx="2836545" cy="238527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15 – Окна указания параметров</w:t>
      </w:r>
    </w:p>
    <w:p w14:paraId="A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373293" cy="1744174"/>
            <wp:effectExtent b="0" l="0" r="0" t="0"/>
            <wp:docPr hidden="false" id="34" name="Picture 34"/>
            <a:graphic>
              <a:graphicData uri="http://schemas.openxmlformats.org/drawingml/2006/picture">
                <pic:pic>
                  <pic:nvPicPr>
                    <pic:cNvPr hidden="false" id="33" name="Picture 33"/>
                    <pic:cNvPicPr preferRelativeResize="true"/>
                  </pic:nvPicPr>
                  <pic:blipFill>
                    <a:blip r:embed="rId17"/>
                    <a:stretch/>
                  </pic:blipFill>
                  <pic:spPr>
                    <a:xfrm flipH="false" flipV="false" rot="0">
                      <a:ext cx="4373293" cy="174417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16 – Окна указания параметров</w:t>
      </w:r>
    </w:p>
    <w:p w14:paraId="A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в выбранной нами на первом шаге директории появится </w:t>
      </w:r>
      <w:r>
        <w:rPr>
          <w:rFonts w:ascii="Times New Roman" w:hAnsi="Times New Roman"/>
          <w:sz w:val="28"/>
        </w:rPr>
        <w:t>папка</w:t>
      </w:r>
      <w:r>
        <w:rPr>
          <w:rFonts w:ascii="Times New Roman" w:hAnsi="Times New Roman"/>
          <w:sz w:val="28"/>
        </w:rPr>
        <w:t xml:space="preserve"> соответствующая наименованию введенной культуры в которой будут находиться файлы-</w:t>
      </w:r>
      <w:r>
        <w:rPr>
          <w:rFonts w:ascii="Times New Roman" w:hAnsi="Times New Roman"/>
          <w:sz w:val="28"/>
        </w:rPr>
        <w:t>json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соответствующие введенным сезонам – рисунок 17.</w:t>
      </w:r>
    </w:p>
    <w:p w14:paraId="A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741331" cy="3554857"/>
            <wp:effectExtent b="0" l="0" r="0" t="0"/>
            <wp:docPr hidden="false" id="36" name="Picture 36"/>
            <a:graphic>
              <a:graphicData uri="http://schemas.openxmlformats.org/drawingml/2006/picture">
                <pic:pic>
                  <pic:nvPicPr>
                    <pic:cNvPr hidden="false" id="35" name="Picture 35"/>
                    <pic:cNvPicPr preferRelativeResize="true"/>
                  </pic:nvPicPr>
                  <pic:blipFill>
                    <a:blip r:embed="rId18"/>
                    <a:stretch/>
                  </pic:blipFill>
                  <pic:spPr>
                    <a:xfrm flipH="false" flipV="false" rot="0">
                      <a:ext cx="4741331" cy="355485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17 – Созданная программой директория и файл-</w:t>
      </w:r>
      <w:r>
        <w:rPr>
          <w:rFonts w:ascii="Times New Roman" w:hAnsi="Times New Roman"/>
          <w:sz w:val="28"/>
        </w:rPr>
        <w:t>json</w:t>
      </w:r>
    </w:p>
    <w:p w14:paraId="A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созданном файле-</w:t>
      </w:r>
      <w:r>
        <w:rPr>
          <w:rFonts w:ascii="Times New Roman" w:hAnsi="Times New Roman"/>
          <w:sz w:val="28"/>
        </w:rPr>
        <w:t>json</w:t>
      </w:r>
      <w:r>
        <w:rPr>
          <w:rFonts w:ascii="Times New Roman" w:hAnsi="Times New Roman"/>
          <w:sz w:val="28"/>
        </w:rPr>
        <w:t xml:space="preserve"> содержится введенная пользователем информация о проводимых полевых работах – рисунок 18.</w:t>
      </w:r>
    </w:p>
    <w:p w14:paraId="A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267200" cy="2197100"/>
            <wp:effectExtent b="0" l="0" r="0" t="0"/>
            <wp:docPr hidden="false" id="38" name="Picture 38"/>
            <a:graphic>
              <a:graphicData uri="http://schemas.openxmlformats.org/drawingml/2006/picture">
                <pic:pic>
                  <pic:nvPicPr>
                    <pic:cNvPr hidden="false" id="37" name="Picture 37"/>
                    <pic:cNvPicPr preferRelativeResize="true"/>
                  </pic:nvPicPr>
                  <pic:blipFill>
                    <a:blip r:embed="rId19"/>
                    <a:stretch/>
                  </pic:blipFill>
                  <pic:spPr>
                    <a:xfrm flipH="false" flipV="false" rot="0">
                      <a:ext cx="4267200" cy="21971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18 – файле-</w:t>
      </w:r>
      <w:r>
        <w:rPr>
          <w:rFonts w:ascii="Times New Roman" w:hAnsi="Times New Roman"/>
          <w:sz w:val="28"/>
        </w:rPr>
        <w:t>json</w:t>
      </w:r>
      <w:r>
        <w:rPr>
          <w:rFonts w:ascii="Times New Roman" w:hAnsi="Times New Roman"/>
          <w:sz w:val="28"/>
        </w:rPr>
        <w:t xml:space="preserve"> с информацией о полевых работах</w:t>
      </w:r>
    </w:p>
    <w:p w14:paraId="AC000000">
      <w:pPr>
        <w:spacing w:after="0" w:line="360" w:lineRule="auto"/>
        <w:ind/>
        <w:jc w:val="both"/>
        <w:rPr>
          <w:rFonts w:ascii="Times New Roman" w:hAnsi="Times New Roman"/>
          <w:b w:val="1"/>
          <w:color w:val="FF0000"/>
          <w:sz w:val="28"/>
        </w:rPr>
      </w:pPr>
    </w:p>
    <w:p w14:paraId="AD000000">
      <w:pPr>
        <w:spacing w:after="0" w:line="360" w:lineRule="auto"/>
        <w:ind/>
        <w:jc w:val="both"/>
        <w:rPr>
          <w:rFonts w:ascii="Times New Roman" w:hAnsi="Times New Roman"/>
          <w:b w:val="1"/>
          <w:color w:val="FF0000"/>
          <w:sz w:val="28"/>
        </w:rPr>
      </w:pPr>
    </w:p>
    <w:p w14:paraId="AE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AF000000">
      <w:pPr>
        <w:spacing w:after="160" w:line="264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Style w:val="Style_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8755"/>
      </w:tblGrid>
      <w:tr>
        <w:tc>
          <w:tcPr>
            <w:tcW w:type="dxa" w:w="875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0000000">
            <w:pPr>
              <w:spacing w:line="36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Технологии и форматы, использованные в разработке программного продукта</w:t>
            </w:r>
          </w:p>
        </w:tc>
      </w:tr>
      <w:tr>
        <w:tc>
          <w:tcPr>
            <w:tcW w:type="dxa" w:w="875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1000000">
            <w:pPr>
              <w:spacing w:line="36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  <w:p w14:paraId="B2000000">
            <w:pPr>
              <w:pStyle w:val="Style_2"/>
              <w:numPr>
                <w:ilvl w:val="1"/>
                <w:numId w:val="2"/>
              </w:numPr>
              <w:spacing w:afterAutospacing="on" w:beforeAutospacing="on" w:line="240" w:lineRule="auto"/>
              <w:ind/>
              <w:contextualSpacing w:val="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Описание языка программирования С++</w:t>
            </w:r>
          </w:p>
          <w:p w14:paraId="B3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Язык программирования С++ представляет высокоуровневый компилируемый язык программирования общего назначения со статической типизацией, который подходит для создания самых различных приложений. На сегодняшний день С++ является одним из самых популярных и распространенных языков.</w:t>
            </w:r>
          </w:p>
          <w:p w14:paraId="B4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  <w:p w14:paraId="B5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875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6000000">
            <w:pPr>
              <w:spacing w:line="36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875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7000000">
            <w:pPr>
              <w:spacing w:line="360" w:lineRule="auto"/>
              <w:ind/>
              <w:contextualSpacing w:val="1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2.1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Понятие кроссплатформенного программного обеспечения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на примере </w:t>
            </w:r>
            <w:r>
              <w:rPr>
                <w:rFonts w:ascii="Times New Roman" w:hAnsi="Times New Roman"/>
                <w:b w:val="1"/>
                <w:sz w:val="28"/>
              </w:rPr>
              <w:t>фреймворка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Qt</w:t>
            </w:r>
          </w:p>
        </w:tc>
      </w:tr>
    </w:tbl>
    <w:p w14:paraId="B8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Qt</w:t>
      </w:r>
      <w:r>
        <w:rPr>
          <w:rFonts w:ascii="Times New Roman" w:hAnsi="Times New Roman"/>
          <w:sz w:val="28"/>
        </w:rPr>
        <w:t xml:space="preserve"> - кроссплатформенное программное обеспечение для создания графических пользовательских интерфейсов, а также кроссплатформенных приложений, которые работают на различных программных и аппаратных платформах, таких как </w:t>
      </w:r>
      <w:r>
        <w:rPr>
          <w:rFonts w:ascii="Times New Roman" w:hAnsi="Times New Roman"/>
          <w:sz w:val="28"/>
        </w:rPr>
        <w:t>Linux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Windows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macOS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Android</w:t>
      </w:r>
      <w:r>
        <w:rPr>
          <w:rFonts w:ascii="Times New Roman" w:hAnsi="Times New Roman"/>
          <w:sz w:val="28"/>
        </w:rPr>
        <w:t xml:space="preserve"> или встраиваемых системах, практически без изменений в базовой кодовой базе, оставаясь при этом </w:t>
      </w:r>
      <w:r>
        <w:rPr>
          <w:rFonts w:ascii="Times New Roman" w:hAnsi="Times New Roman"/>
          <w:sz w:val="28"/>
        </w:rPr>
        <w:t>нативным</w:t>
      </w:r>
      <w:r>
        <w:rPr>
          <w:rFonts w:ascii="Times New Roman" w:hAnsi="Times New Roman"/>
          <w:sz w:val="28"/>
        </w:rPr>
        <w:t xml:space="preserve"> приложением с </w:t>
      </w:r>
      <w:r>
        <w:rPr>
          <w:rFonts w:ascii="Times New Roman" w:hAnsi="Times New Roman"/>
          <w:sz w:val="28"/>
        </w:rPr>
        <w:t>нативными</w:t>
      </w:r>
      <w:r>
        <w:rPr>
          <w:rFonts w:ascii="Times New Roman" w:hAnsi="Times New Roman"/>
          <w:sz w:val="28"/>
        </w:rPr>
        <w:t xml:space="preserve"> возможностями и скоростью. Разработка </w:t>
      </w:r>
      <w:r>
        <w:rPr>
          <w:rFonts w:ascii="Times New Roman" w:hAnsi="Times New Roman"/>
          <w:sz w:val="28"/>
        </w:rPr>
        <w:t>Qt</w:t>
      </w:r>
      <w:r>
        <w:rPr>
          <w:rFonts w:ascii="Times New Roman" w:hAnsi="Times New Roman"/>
          <w:sz w:val="28"/>
        </w:rPr>
        <w:t xml:space="preserve"> началась 1991 года в стенах компании </w:t>
      </w:r>
      <w:r>
        <w:rPr>
          <w:rFonts w:ascii="Times New Roman" w:hAnsi="Times New Roman"/>
          <w:sz w:val="28"/>
        </w:rPr>
        <w:t>Trolltech</w:t>
      </w:r>
      <w:r>
        <w:rPr>
          <w:rFonts w:ascii="Times New Roman" w:hAnsi="Times New Roman"/>
          <w:sz w:val="28"/>
        </w:rPr>
        <w:t xml:space="preserve">. 20 мая 1995 года была выпущена первая версия для публичного использования. На сегодняшний день </w:t>
      </w:r>
      <w:r>
        <w:rPr>
          <w:rFonts w:ascii="Times New Roman" w:hAnsi="Times New Roman"/>
          <w:sz w:val="28"/>
        </w:rPr>
        <w:t>фреймворк</w:t>
      </w:r>
      <w:r>
        <w:rPr>
          <w:rFonts w:ascii="Times New Roman" w:hAnsi="Times New Roman"/>
          <w:sz w:val="28"/>
        </w:rPr>
        <w:t xml:space="preserve"> развивает одноименная компания - </w:t>
      </w:r>
      <w:r>
        <w:rPr>
          <w:rFonts w:ascii="Times New Roman" w:hAnsi="Times New Roman"/>
          <w:sz w:val="28"/>
        </w:rPr>
        <w:t>Qt</w:t>
      </w:r>
      <w:r>
        <w:rPr>
          <w:rFonts w:ascii="Times New Roman" w:hAnsi="Times New Roman"/>
          <w:sz w:val="28"/>
        </w:rPr>
        <w:t xml:space="preserve">. </w:t>
      </w:r>
    </w:p>
    <w:p w14:paraId="B9000000">
      <w:pPr>
        <w:spacing w:line="360" w:lineRule="auto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2.4 Текстовый формат обмена данными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JSON</w:t>
      </w:r>
    </w:p>
    <w:p w14:paraId="BA000000">
      <w:pPr>
        <w:spacing w:after="300" w:line="360" w:lineRule="auto"/>
        <w:ind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sz w:val="28"/>
        </w:rPr>
        <w:t>JavaScript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Object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Notation</w:t>
      </w:r>
      <w:r>
        <w:rPr>
          <w:rFonts w:ascii="Times New Roman" w:hAnsi="Times New Roman"/>
          <w:sz w:val="28"/>
        </w:rPr>
        <w:t xml:space="preserve">, или JSON, — это формат представления структурированных данных в виде текста. Он помогает передавать данные между разными веб-приложениями, клиентской и серверной частью одного приложения или его компонентами, даже если они написаны на разных языках </w:t>
      </w:r>
      <w:r>
        <w:rPr>
          <w:rFonts w:ascii="Times New Roman" w:hAnsi="Times New Roman"/>
          <w:sz w:val="28"/>
        </w:rPr>
        <w:t xml:space="preserve">программирования. Структура JSON </w:t>
      </w:r>
      <w:r>
        <w:rPr>
          <w:rFonts w:ascii="Times New Roman" w:hAnsi="Times New Roman"/>
          <w:sz w:val="28"/>
        </w:rPr>
        <w:t>data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type</w:t>
      </w:r>
      <w:r>
        <w:rPr>
          <w:rFonts w:ascii="Times New Roman" w:hAnsi="Times New Roman"/>
          <w:sz w:val="28"/>
        </w:rPr>
        <w:t xml:space="preserve"> разработана на основе синтаксиса объектов </w:t>
      </w:r>
      <w:r>
        <w:rPr>
          <w:rFonts w:ascii="Times New Roman" w:hAnsi="Times New Roman"/>
          <w:sz w:val="28"/>
        </w:rPr>
        <w:t>JavaScript</w:t>
      </w:r>
      <w:r>
        <w:rPr>
          <w:rFonts w:ascii="Times New Roman" w:hAnsi="Times New Roman"/>
          <w:sz w:val="28"/>
        </w:rPr>
        <w:t>. Простой синтаксис упрощает работу с информацией, делая ее доступной и понятной как для компьютеров, так и для людей. JSON пришел на смену XML. Простота, небольшой вес, более высокая производительность и широкая поддержка в языках программирования сделали его более популярным форматом для обмена данными во многих сферах.</w:t>
      </w:r>
      <w:r>
        <w:rPr>
          <w:rFonts w:ascii="Times New Roman" w:hAnsi="Times New Roman"/>
          <w:sz w:val="28"/>
        </w:rPr>
        <w:t xml:space="preserve"> </w:t>
      </w:r>
    </w:p>
    <w:p w14:paraId="BB000000">
      <w:pPr>
        <w:spacing w:after="0" w:line="360" w:lineRule="auto"/>
        <w:ind/>
        <w:jc w:val="both"/>
        <w:rPr>
          <w:rFonts w:ascii="Times New Roman" w:hAnsi="Times New Roman"/>
          <w:b w:val="1"/>
          <w:color w:val="FF0000"/>
          <w:sz w:val="28"/>
        </w:rPr>
      </w:pPr>
    </w:p>
    <w:p w14:paraId="BC000000">
      <w:pPr>
        <w:spacing w:after="0" w:line="360" w:lineRule="auto"/>
        <w:ind/>
        <w:jc w:val="both"/>
        <w:rPr>
          <w:rFonts w:ascii="Times New Roman" w:hAnsi="Times New Roman"/>
          <w:b w:val="1"/>
          <w:color w:val="FF0000"/>
          <w:sz w:val="28"/>
        </w:rPr>
      </w:pPr>
    </w:p>
    <w:p w14:paraId="BD000000">
      <w:pPr>
        <w:spacing w:after="160" w:line="264" w:lineRule="auto"/>
        <w:ind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b w:val="1"/>
          <w:color w:val="FF0000"/>
          <w:sz w:val="28"/>
        </w:rPr>
        <w:br w:type="page"/>
      </w:r>
    </w:p>
    <w:p w14:paraId="BE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Заключение</w:t>
      </w:r>
    </w:p>
    <w:p w14:paraId="B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подвести итог моей работы над проектом, то можно сказать что у меня получился вполне неплохой функциональный программный продукт для личного использования в работе нашего </w:t>
      </w:r>
      <w:r>
        <w:rPr>
          <w:rFonts w:ascii="Times New Roman" w:hAnsi="Times New Roman"/>
          <w:sz w:val="28"/>
        </w:rPr>
        <w:t>хозяйства .</w:t>
      </w:r>
      <w:r>
        <w:rPr>
          <w:rFonts w:ascii="Times New Roman" w:hAnsi="Times New Roman"/>
          <w:sz w:val="28"/>
        </w:rPr>
        <w:t xml:space="preserve"> На его разработку у меня ушло несколько месяцев. На протяжении всей разработки я изучал информацию в интернете и на её основе добавлял функционал в свой продукт. И это оказалось не так сложно, как казалось в самом начале.</w:t>
      </w:r>
    </w:p>
    <w:p w14:paraId="C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Гипотеза подтвердилась. Я научился программировать самостоятельно и создал свой программный продукт, который назвал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Автоматизированный справочник полевых работ». </w:t>
      </w:r>
      <w:r>
        <w:rPr>
          <w:rFonts w:ascii="Times New Roman" w:hAnsi="Times New Roman"/>
          <w:sz w:val="28"/>
        </w:rPr>
        <w:t xml:space="preserve">Я не собираюсь останавливаться на достигнутом и продолжу </w:t>
      </w:r>
      <w:r>
        <w:rPr>
          <w:rFonts w:ascii="Times New Roman" w:hAnsi="Times New Roman"/>
          <w:sz w:val="28"/>
        </w:rPr>
        <w:t>работув</w:t>
      </w:r>
      <w:r>
        <w:rPr>
          <w:rFonts w:ascii="Times New Roman" w:hAnsi="Times New Roman"/>
          <w:sz w:val="28"/>
        </w:rPr>
        <w:t xml:space="preserve"> этом направлении. Таким образом, задачи решены, цель исследовательской работы достигнута.</w:t>
      </w:r>
    </w:p>
    <w:p w14:paraId="C1000000">
      <w:pPr>
        <w:spacing w:after="0" w:line="360" w:lineRule="auto"/>
        <w:ind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br w:type="page"/>
      </w:r>
    </w:p>
    <w:p w14:paraId="C2000000">
      <w:pPr>
        <w:spacing w:after="0" w:line="36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Заключение</w:t>
      </w:r>
    </w:p>
    <w:p w14:paraId="C3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2020 году программирование настолько глубоко вошло в быт, что люди перестали замечать, как изменилась жизнь. Сотни тысяч привычных вещей не существовали бы без программирования или были бы гораздо менее удобными в использовании. Привычные бытовые приборы: микроволновая печь, стиральная машина — работают благодаря заложенным в них программам.</w:t>
      </w:r>
    </w:p>
    <w:p w14:paraId="C4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Всего 50 лет назад невозможно было представить, как легко будет найти любую необходимую информацию, насколько экономнее станет использоваться время, затрачиваемое на решение некоторых задач.</w:t>
      </w:r>
    </w:p>
    <w:p w14:paraId="C5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Поначалу для каждого крохотного действия приходилось создавать программу с нуля. Сейчас же программ написано такое множество, что в их разнообразии трудно ориентироваться. Например, чтобы смонтировать клип, придётся потратить часы на изучение существующих </w:t>
      </w:r>
      <w:r>
        <w:rPr>
          <w:rFonts w:ascii="Times New Roman" w:hAnsi="Times New Roman"/>
          <w:color w:val="000000"/>
          <w:sz w:val="28"/>
        </w:rPr>
        <w:t>видеоредакторов</w:t>
      </w:r>
      <w:r>
        <w:rPr>
          <w:rFonts w:ascii="Times New Roman" w:hAnsi="Times New Roman"/>
          <w:color w:val="000000"/>
          <w:sz w:val="28"/>
        </w:rPr>
        <w:t xml:space="preserve"> и выбор подходящего.</w:t>
      </w:r>
    </w:p>
    <w:p w14:paraId="C6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Наше время диктует новые условия буквально в каждой области деятельности. Если компания хочет облегчить жизнь себе и своим клиентам, обойти конкурентов, то будет внедрять компьютерные технологии. И </w:t>
      </w:r>
      <w:r>
        <w:rPr>
          <w:rFonts w:ascii="Times New Roman" w:hAnsi="Times New Roman"/>
          <w:color w:val="000000"/>
          <w:sz w:val="28"/>
        </w:rPr>
        <w:t>даже казалось бы</w:t>
      </w:r>
      <w:r>
        <w:rPr>
          <w:rFonts w:ascii="Times New Roman" w:hAnsi="Times New Roman"/>
          <w:color w:val="000000"/>
          <w:sz w:val="28"/>
        </w:rPr>
        <w:t xml:space="preserve"> такая отрасль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как сельское хозяйство тесно переплетены с программированием и активно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использует специальные программы на разных этапах работы.</w:t>
      </w:r>
    </w:p>
    <w:p w14:paraId="C7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C8000000">
      <w:pPr>
        <w:spacing w:after="0" w:line="36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C9000000">
      <w:pPr>
        <w:spacing w:after="0" w:line="36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CA000000">
      <w:pPr>
        <w:spacing w:after="0" w:line="36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CB000000">
      <w:pPr>
        <w:spacing w:after="0" w:line="36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CC000000">
      <w:pPr>
        <w:spacing w:after="0" w:line="36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CD000000">
      <w:pPr>
        <w:spacing w:after="0" w:line="36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CE000000">
      <w:pPr>
        <w:spacing w:after="0" w:line="36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CF000000">
      <w:pPr>
        <w:spacing w:after="0" w:line="36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D0000000">
      <w:pPr>
        <w:spacing w:after="0" w:line="36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D1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использованных источников</w:t>
      </w:r>
    </w:p>
    <w:p w14:paraId="D2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1.C_Sharp [Электронный ресурс]</w:t>
      </w:r>
      <w:r>
        <w:rPr>
          <w:rFonts w:ascii="Times New Roman" w:hAnsi="Times New Roman"/>
          <w:sz w:val="28"/>
          <w:u w:val="single"/>
        </w:rPr>
        <w:fldChar w:fldCharType="begin"/>
      </w:r>
      <w:r>
        <w:rPr>
          <w:rFonts w:ascii="Times New Roman" w:hAnsi="Times New Roman"/>
          <w:sz w:val="28"/>
          <w:u w:val="single"/>
        </w:rPr>
        <w:instrText>HYPERLINK "URL:http://ru.wikipedia.org/wiki/C_Sharp"</w:instrText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sz w:val="28"/>
          <w:u w:val="single"/>
        </w:rPr>
        <w:t>URL:http://ru.wikipedia.org/wiki/C_Sharp</w:t>
      </w:r>
      <w:r>
        <w:rPr>
          <w:rFonts w:ascii="Times New Roman" w:hAnsi="Times New Roman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 xml:space="preserve"> (Дата обращения 28.01.2019)</w:t>
      </w:r>
    </w:p>
    <w:p w14:paraId="D3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2.Java [Электронный ресурс]URL:</w:t>
      </w:r>
      <w:r>
        <w:rPr>
          <w:rFonts w:ascii="Times New Roman" w:hAnsi="Times New Roman"/>
          <w:sz w:val="28"/>
          <w:u w:val="single"/>
        </w:rPr>
        <w:fldChar w:fldCharType="begin"/>
      </w:r>
      <w:r>
        <w:rPr>
          <w:rFonts w:ascii="Times New Roman" w:hAnsi="Times New Roman"/>
          <w:sz w:val="28"/>
          <w:u w:val="single"/>
        </w:rPr>
        <w:instrText>HYPERLINK "http://ru.wikipedia.org/wiki/Java"</w:instrText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sz w:val="28"/>
          <w:u w:val="single"/>
        </w:rPr>
        <w:t>http://ru.wikipedia.org/wiki/Java</w:t>
      </w:r>
      <w:r>
        <w:rPr>
          <w:rFonts w:ascii="Times New Roman" w:hAnsi="Times New Roman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> (Дата обращения 22.02.2019)</w:t>
      </w:r>
    </w:p>
    <w:p w14:paraId="D4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3.Python [Электронный ресурс]URL:</w:t>
      </w:r>
      <w:r>
        <w:rPr>
          <w:rFonts w:ascii="Times New Roman" w:hAnsi="Times New Roman"/>
          <w:sz w:val="28"/>
          <w:u w:val="single"/>
        </w:rPr>
        <w:fldChar w:fldCharType="begin"/>
      </w:r>
      <w:r>
        <w:rPr>
          <w:rFonts w:ascii="Times New Roman" w:hAnsi="Times New Roman"/>
          <w:sz w:val="28"/>
          <w:u w:val="single"/>
        </w:rPr>
        <w:instrText>HYPERLINK "http://ru.wikipedia.org/wiki/Python"</w:instrText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sz w:val="28"/>
          <w:u w:val="single"/>
        </w:rPr>
        <w:t>http://ru.wikipedia.org/wiki/Python</w:t>
      </w:r>
      <w:r>
        <w:rPr>
          <w:rFonts w:ascii="Times New Roman" w:hAnsi="Times New Roman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> (Дата обращения 22.02.2019)</w:t>
      </w:r>
    </w:p>
    <w:p w14:paraId="D5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4.Ассемблер [Электронный ресурс]URL:</w:t>
      </w:r>
      <w:r>
        <w:rPr>
          <w:rFonts w:ascii="Times New Roman" w:hAnsi="Times New Roman"/>
          <w:sz w:val="28"/>
          <w:u w:val="single"/>
        </w:rPr>
        <w:fldChar w:fldCharType="begin"/>
      </w:r>
      <w:r>
        <w:rPr>
          <w:rFonts w:ascii="Times New Roman" w:hAnsi="Times New Roman"/>
          <w:sz w:val="28"/>
          <w:u w:val="single"/>
        </w:rPr>
        <w:instrText>HYPERLINK "https://ru.wikipedia.org/wiki/Ассемблер"</w:instrText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sz w:val="28"/>
          <w:u w:val="single"/>
        </w:rPr>
        <w:t>https://ru.wikipedia.org/wiki/Ассемблер</w:t>
      </w:r>
      <w:r>
        <w:rPr>
          <w:rFonts w:ascii="Times New Roman" w:hAnsi="Times New Roman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 xml:space="preserve"> (дата обращения 02.02.2019)</w:t>
      </w:r>
    </w:p>
    <w:p w14:paraId="D6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5.Записная книжка программиста-новичка, C#, SQL, PHP и все-все-все [Электронный ресурс]URL: </w:t>
      </w:r>
      <w:r>
        <w:rPr>
          <w:rFonts w:ascii="Times New Roman" w:hAnsi="Times New Roman"/>
          <w:sz w:val="28"/>
          <w:u w:val="single"/>
        </w:rPr>
        <w:fldChar w:fldCharType="begin"/>
      </w:r>
      <w:r>
        <w:rPr>
          <w:rFonts w:ascii="Times New Roman" w:hAnsi="Times New Roman"/>
          <w:sz w:val="28"/>
          <w:u w:val="single"/>
        </w:rPr>
        <w:instrText>HYPERLINK "http://nullpro.info/2013/samouchitel-po-c-dlya-nachinayushhix-01-osnovy-yazyka-peremennye-logika-cikly/"</w:instrText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sz w:val="28"/>
          <w:u w:val="single"/>
        </w:rPr>
        <w:t>http://nullpro.info/2013/samouchitel-po-c-dlya-nachinayushhix-01-osnovy-yazyka-peremennye-logika-cikly/</w:t>
      </w:r>
      <w:r>
        <w:rPr>
          <w:rFonts w:ascii="Times New Roman" w:hAnsi="Times New Roman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 xml:space="preserve"> Записная книжка программиста-новичка, C#, SQL, PHP и все-все-все (Дата обращения 26.02.2019)</w:t>
      </w:r>
    </w:p>
    <w:p w14:paraId="D7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6.Интерпретатор [Электронный ресурс]URL:</w:t>
      </w:r>
      <w:r>
        <w:rPr>
          <w:rFonts w:ascii="Times New Roman" w:hAnsi="Times New Roman"/>
          <w:sz w:val="28"/>
          <w:u w:val="single"/>
        </w:rPr>
        <w:fldChar w:fldCharType="begin"/>
      </w:r>
      <w:r>
        <w:rPr>
          <w:rFonts w:ascii="Times New Roman" w:hAnsi="Times New Roman"/>
          <w:sz w:val="28"/>
          <w:u w:val="single"/>
        </w:rPr>
        <w:instrText>HYPERLINK "https://ru.wikipedia.org/wiki/Интерпретатор"</w:instrText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sz w:val="28"/>
          <w:u w:val="single"/>
        </w:rPr>
        <w:t>https://ru.wikipedia.org/wiki/Интерпретатор</w:t>
      </w:r>
      <w:r>
        <w:rPr>
          <w:rFonts w:ascii="Times New Roman" w:hAnsi="Times New Roman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 xml:space="preserve"> (дата обращения 02.02.2019)</w:t>
      </w:r>
    </w:p>
    <w:p w14:paraId="D8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7.Компилятор[Электронный ресурс]</w:t>
      </w:r>
      <w:r>
        <w:rPr>
          <w:rFonts w:ascii="Times New Roman" w:hAnsi="Times New Roman"/>
          <w:sz w:val="28"/>
          <w:u w:val="single"/>
        </w:rPr>
        <w:fldChar w:fldCharType="begin"/>
      </w:r>
      <w:r>
        <w:rPr>
          <w:rFonts w:ascii="Times New Roman" w:hAnsi="Times New Roman"/>
          <w:sz w:val="28"/>
          <w:u w:val="single"/>
        </w:rPr>
        <w:instrText>HYPERLINK "URL:https://ru.wikipedia.org/wiki/Компилятор"</w:instrText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sz w:val="28"/>
          <w:u w:val="single"/>
        </w:rPr>
        <w:t>URL:https://ru.wikipedia.org/wiki/Компилятор</w:t>
      </w:r>
      <w:r>
        <w:rPr>
          <w:rFonts w:ascii="Times New Roman" w:hAnsi="Times New Roman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 xml:space="preserve"> (Дата обращения 28.01.2019)</w:t>
      </w:r>
    </w:p>
    <w:p w14:paraId="D9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8.Курносов, А. П., </w:t>
      </w:r>
      <w:r>
        <w:rPr>
          <w:rFonts w:ascii="Times New Roman" w:hAnsi="Times New Roman"/>
          <w:sz w:val="28"/>
        </w:rPr>
        <w:t>Кулев</w:t>
      </w:r>
      <w:r>
        <w:rPr>
          <w:rFonts w:ascii="Times New Roman" w:hAnsi="Times New Roman"/>
          <w:sz w:val="28"/>
        </w:rPr>
        <w:t xml:space="preserve">, С. А., </w:t>
      </w:r>
      <w:r>
        <w:rPr>
          <w:rFonts w:ascii="Times New Roman" w:hAnsi="Times New Roman"/>
          <w:sz w:val="28"/>
        </w:rPr>
        <w:t>Улезько</w:t>
      </w:r>
      <w:r>
        <w:rPr>
          <w:rFonts w:ascii="Times New Roman" w:hAnsi="Times New Roman"/>
          <w:sz w:val="28"/>
        </w:rPr>
        <w:t xml:space="preserve"> А. В. и др. Информатика /под ред. А. П. </w:t>
      </w:r>
      <w:r>
        <w:rPr>
          <w:rFonts w:ascii="Times New Roman" w:hAnsi="Times New Roman"/>
          <w:sz w:val="28"/>
        </w:rPr>
        <w:t>Курносова</w:t>
      </w:r>
      <w:r>
        <w:rPr>
          <w:rFonts w:ascii="Times New Roman" w:hAnsi="Times New Roman"/>
          <w:sz w:val="28"/>
        </w:rPr>
        <w:t xml:space="preserve">. М.: </w:t>
      </w:r>
      <w:r>
        <w:rPr>
          <w:rFonts w:ascii="Times New Roman" w:hAnsi="Times New Roman"/>
          <w:sz w:val="28"/>
        </w:rPr>
        <w:t>КолосС</w:t>
      </w:r>
      <w:r>
        <w:rPr>
          <w:rFonts w:ascii="Times New Roman" w:hAnsi="Times New Roman"/>
          <w:sz w:val="28"/>
        </w:rPr>
        <w:t>. 2005. – 272 с.</w:t>
      </w:r>
    </w:p>
    <w:p w14:paraId="DA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9.Макарова, Н. В. Информатика /под ред. Проф. Н. В. Макаровой. – М.: Финансы и статистика. 1997. – 768 с.</w:t>
      </w:r>
    </w:p>
    <w:p w14:paraId="DB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10.Малышев, Р. А. Локальные вычислительные сети: Учебное пособие/ РГАТА. – Рыбинск, 2005. – 83 с.</w:t>
      </w:r>
    </w:p>
    <w:p w14:paraId="DC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11.Обучение программированию с нуля – пошаговое руководство для начинающих. Десять шагов от чайника к программисту-профессионалу [Электронный ресурс]URL: </w:t>
      </w:r>
      <w:r>
        <w:rPr>
          <w:rFonts w:ascii="Times New Roman" w:hAnsi="Times New Roman"/>
          <w:sz w:val="28"/>
          <w:u w:val="single"/>
        </w:rPr>
        <w:fldChar w:fldCharType="begin"/>
      </w:r>
      <w:r>
        <w:rPr>
          <w:rFonts w:ascii="Times New Roman" w:hAnsi="Times New Roman"/>
          <w:sz w:val="28"/>
          <w:u w:val="single"/>
        </w:rPr>
        <w:instrText>HYPERLINK "http://geek-nose.com/obuchenie-programmirovaniyu-s-nulya/"</w:instrText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sz w:val="28"/>
          <w:u w:val="single"/>
        </w:rPr>
        <w:t>http://geek-nose.com/obuchenie-programmirovaniyu-s-nulya/</w:t>
      </w:r>
      <w:r>
        <w:rPr>
          <w:rFonts w:ascii="Times New Roman" w:hAnsi="Times New Roman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 xml:space="preserve"> Обучение программированию с нуля – пошаговое </w:t>
      </w:r>
      <w:r>
        <w:rPr>
          <w:rFonts w:ascii="Times New Roman" w:hAnsi="Times New Roman"/>
          <w:sz w:val="28"/>
        </w:rPr>
        <w:t>руководство для начинающих. Десять шагов от чайника к программисту-профессионалу (Дата обращения 13.02.2019)</w:t>
      </w:r>
    </w:p>
    <w:p w14:paraId="DD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12.Островский, В. А. Информатика: учеб. для вузов. М.: Высшая школа, 2000. –511 с.</w:t>
      </w:r>
    </w:p>
    <w:p w14:paraId="DE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13.Полное руководство по языку программирования С# 7.0 и платформе .NET 4.7 [Электронный ресурс]URL: </w:t>
      </w:r>
      <w:r>
        <w:rPr>
          <w:rFonts w:ascii="Times New Roman" w:hAnsi="Times New Roman"/>
          <w:sz w:val="28"/>
          <w:u w:val="single"/>
        </w:rPr>
        <w:fldChar w:fldCharType="begin"/>
      </w:r>
      <w:r>
        <w:rPr>
          <w:rFonts w:ascii="Times New Roman" w:hAnsi="Times New Roman"/>
          <w:sz w:val="28"/>
          <w:u w:val="single"/>
        </w:rPr>
        <w:instrText>HYPERLINK "https://metanit.com/sharp/tutorial/"</w:instrText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sz w:val="28"/>
          <w:u w:val="single"/>
        </w:rPr>
        <w:t>https://metanit.com/sharp/tutorial/</w:t>
      </w:r>
      <w:r>
        <w:rPr>
          <w:rFonts w:ascii="Times New Roman" w:hAnsi="Times New Roman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> Полное руководство по языку программирования С# 7.0 и платформе .NET 4.7 (Дата обращения 21.01.2019)</w:t>
      </w:r>
    </w:p>
    <w:p w14:paraId="D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14.Семакин, И. А. Информатика: Базовый курс /Семакин И. А ., </w:t>
      </w:r>
      <w:r>
        <w:rPr>
          <w:rFonts w:ascii="Times New Roman" w:hAnsi="Times New Roman"/>
          <w:sz w:val="28"/>
        </w:rPr>
        <w:t>Залогова</w:t>
      </w:r>
      <w:r>
        <w:rPr>
          <w:rFonts w:ascii="Times New Roman" w:hAnsi="Times New Roman"/>
          <w:sz w:val="28"/>
        </w:rPr>
        <w:t xml:space="preserve"> Л ., Русаков С., Шестакова Л. – Москва: БИНОМ.2005. – 105с.</w:t>
      </w:r>
    </w:p>
    <w:p w14:paraId="E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15.Симонович, С. В. Информатика. Базовый курс/Симонович С. В. и др. – СПб.: издательство Питер. 2000. – 640 с.</w:t>
      </w:r>
    </w:p>
    <w:p w14:paraId="E1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16.СС++ [Электронный ресурс]</w:t>
      </w:r>
      <w:r>
        <w:rPr>
          <w:rFonts w:ascii="Times New Roman" w:hAnsi="Times New Roman"/>
          <w:sz w:val="28"/>
          <w:u w:val="single"/>
        </w:rPr>
        <w:fldChar w:fldCharType="begin"/>
      </w:r>
      <w:r>
        <w:rPr>
          <w:rFonts w:ascii="Times New Roman" w:hAnsi="Times New Roman"/>
          <w:sz w:val="28"/>
          <w:u w:val="single"/>
        </w:rPr>
        <w:instrText>HYPERLINK "URL:http://ru.wikipedia.org/wiki/СС"</w:instrText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sz w:val="28"/>
          <w:u w:val="single"/>
        </w:rPr>
        <w:t>URL:http://ru.wikipedia.org/wiki/СС</w:t>
      </w:r>
      <w:r>
        <w:rPr>
          <w:rFonts w:ascii="Times New Roman" w:hAnsi="Times New Roman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 xml:space="preserve">++ (Дата обращения 31.01.2019 </w:t>
      </w:r>
    </w:p>
    <w:p w14:paraId="E2000000">
      <w:pPr>
        <w:spacing w:line="360" w:lineRule="auto"/>
        <w:ind w:firstLine="851" w:left="0"/>
        <w:jc w:val="both"/>
        <w:rPr>
          <w:rFonts w:ascii="Times New Roman" w:hAnsi="Times New Roman"/>
          <w:color w:val="FF0000"/>
          <w:sz w:val="28"/>
        </w:rPr>
      </w:pPr>
    </w:p>
    <w:p w14:paraId="E3000000">
      <w:pPr>
        <w:spacing w:line="360" w:lineRule="auto"/>
        <w:ind w:firstLine="851" w:left="0"/>
        <w:jc w:val="both"/>
        <w:rPr>
          <w:rFonts w:ascii="Times New Roman" w:hAnsi="Times New Roman"/>
          <w:color w:val="FF0000"/>
          <w:sz w:val="28"/>
        </w:rPr>
      </w:pPr>
    </w:p>
    <w:p w14:paraId="E4000000">
      <w:pPr>
        <w:spacing w:line="360" w:lineRule="auto"/>
        <w:ind w:firstLine="851" w:left="0"/>
        <w:jc w:val="both"/>
        <w:rPr>
          <w:rFonts w:ascii="Times New Roman" w:hAnsi="Times New Roman"/>
          <w:b w:val="1"/>
          <w:sz w:val="28"/>
        </w:rPr>
      </w:pPr>
    </w:p>
    <w:p w14:paraId="E5000000">
      <w:pPr>
        <w:spacing w:line="360" w:lineRule="auto"/>
        <w:ind w:firstLine="851" w:left="0"/>
        <w:jc w:val="both"/>
        <w:rPr>
          <w:rFonts w:ascii="Times New Roman" w:hAnsi="Times New Roman"/>
          <w:b w:val="1"/>
          <w:sz w:val="28"/>
        </w:rPr>
      </w:pPr>
    </w:p>
    <w:p w14:paraId="E6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E7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E8000000">
      <w:pPr>
        <w:spacing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E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EA000000">
      <w:pPr>
        <w:rPr>
          <w:rFonts w:ascii="Times New Roman" w:hAnsi="Times New Roman"/>
          <w:sz w:val="28"/>
        </w:rPr>
      </w:pPr>
    </w:p>
    <w:p w14:paraId="EB00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3"/>
      <w:numFmt w:val="decimal"/>
      <w:lvlText w:val="%1.%2"/>
      <w:lvlJc w:val="left"/>
      <w:pPr>
        <w:ind w:hanging="375" w:left="735"/>
      </w:pPr>
    </w:lvl>
    <w:lvl w:ilvl="2">
      <w:start w:val="1"/>
      <w:numFmt w:val="decimal"/>
      <w:lvlText w:val="%1.%2.%3"/>
      <w:lvlJc w:val="left"/>
      <w:pPr>
        <w:ind w:hanging="720" w:left="1080"/>
      </w:pPr>
    </w:lvl>
    <w:lvl w:ilvl="3">
      <w:start w:val="1"/>
      <w:numFmt w:val="decimal"/>
      <w:lvlText w:val="%1.%2.%3.%4"/>
      <w:lvlJc w:val="left"/>
      <w:pPr>
        <w:ind w:hanging="1080" w:left="1440"/>
      </w:pPr>
    </w:lvl>
    <w:lvl w:ilvl="4">
      <w:start w:val="1"/>
      <w:numFmt w:val="decimal"/>
      <w:lvlText w:val="%1.%2.%3.%4.%5"/>
      <w:lvlJc w:val="left"/>
      <w:pPr>
        <w:ind w:hanging="1080" w:left="1440"/>
      </w:pPr>
    </w:lvl>
    <w:lvl w:ilvl="5">
      <w:start w:val="1"/>
      <w:numFmt w:val="decimal"/>
      <w:lvlText w:val="%1.%2.%3.%4.%5.%6"/>
      <w:lvlJc w:val="left"/>
      <w:pPr>
        <w:ind w:hanging="1440" w:left="1800"/>
      </w:pPr>
    </w:lvl>
    <w:lvl w:ilvl="6">
      <w:start w:val="1"/>
      <w:numFmt w:val="decimal"/>
      <w:lvlText w:val="%1.%2.%3.%4.%5.%6.%7"/>
      <w:lvlJc w:val="left"/>
      <w:pPr>
        <w:ind w:hanging="1440" w:left="1800"/>
      </w:pPr>
    </w:lvl>
    <w:lvl w:ilvl="7">
      <w:start w:val="1"/>
      <w:numFmt w:val="decimal"/>
      <w:lvlText w:val="%1.%2.%3.%4.%5.%6.%7.%8"/>
      <w:lvlJc w:val="left"/>
      <w:pPr>
        <w:ind w:hanging="1800" w:left="2160"/>
      </w:pPr>
    </w:lvl>
    <w:lvl w:ilvl="8">
      <w:start w:val="1"/>
      <w:numFmt w:val="decimal"/>
      <w:lvlText w:val="%1.%2.%3.%4.%5.%6.%7.%8.%9"/>
      <w:lvlJc w:val="left"/>
      <w:pPr>
        <w:ind w:hanging="2160" w:left="2520"/>
      </w:pPr>
    </w:lvl>
  </w:abstractNum>
  <w:abstractNum w:abstractNumId="1">
    <w:lvl w:ilvl="0">
      <w:start w:val="2"/>
      <w:numFmt w:val="decimal"/>
      <w:lvlText w:val="%1"/>
      <w:lvlJc w:val="left"/>
      <w:pPr>
        <w:ind w:hanging="375" w:left="375"/>
      </w:pPr>
    </w:lvl>
    <w:lvl w:ilvl="1">
      <w:start w:val="3"/>
      <w:numFmt w:val="decimal"/>
      <w:lvlText w:val="%1.%2"/>
      <w:lvlJc w:val="left"/>
      <w:pPr>
        <w:ind w:hanging="375" w:left="1095"/>
      </w:pPr>
    </w:lvl>
    <w:lvl w:ilvl="2">
      <w:start w:val="1"/>
      <w:numFmt w:val="decimal"/>
      <w:lvlText w:val="%1.%2.%3"/>
      <w:lvlJc w:val="left"/>
      <w:pPr>
        <w:ind w:hanging="720" w:left="2160"/>
      </w:pPr>
    </w:lvl>
    <w:lvl w:ilvl="3">
      <w:start w:val="1"/>
      <w:numFmt w:val="decimal"/>
      <w:lvlText w:val="%1.%2.%3.%4"/>
      <w:lvlJc w:val="left"/>
      <w:pPr>
        <w:ind w:hanging="1080" w:left="3240"/>
      </w:pPr>
    </w:lvl>
    <w:lvl w:ilvl="4">
      <w:start w:val="1"/>
      <w:numFmt w:val="decimal"/>
      <w:lvlText w:val="%1.%2.%3.%4.%5"/>
      <w:lvlJc w:val="left"/>
      <w:pPr>
        <w:ind w:hanging="1080" w:left="3960"/>
      </w:pPr>
    </w:lvl>
    <w:lvl w:ilvl="5">
      <w:start w:val="1"/>
      <w:numFmt w:val="decimal"/>
      <w:lvlText w:val="%1.%2.%3.%4.%5.%6"/>
      <w:lvlJc w:val="left"/>
      <w:pPr>
        <w:ind w:hanging="1440" w:left="5040"/>
      </w:pPr>
    </w:lvl>
    <w:lvl w:ilvl="6">
      <w:start w:val="1"/>
      <w:numFmt w:val="decimal"/>
      <w:lvlText w:val="%1.%2.%3.%4.%5.%6.%7"/>
      <w:lvlJc w:val="left"/>
      <w:pPr>
        <w:ind w:hanging="1440" w:left="5760"/>
      </w:pPr>
    </w:lvl>
    <w:lvl w:ilvl="7">
      <w:start w:val="1"/>
      <w:numFmt w:val="decimal"/>
      <w:lvlText w:val="%1.%2.%3.%4.%5.%6.%7.%8"/>
      <w:lvlJc w:val="left"/>
      <w:pPr>
        <w:ind w:hanging="1800" w:left="6840"/>
      </w:pPr>
    </w:lvl>
    <w:lvl w:ilvl="8">
      <w:start w:val="1"/>
      <w:numFmt w:val="decimal"/>
      <w:lvlText w:val="%1.%2.%3.%4.%5.%6.%7.%8.%9"/>
      <w:lvlJc w:val="left"/>
      <w:pPr>
        <w:ind w:hanging="2160" w:left="79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4_ch" w:type="character">
    <w:name w:val="Normal"/>
    <w:link w:val="Style_4"/>
    <w:rPr>
      <w:rFonts w:ascii="Calibri" w:hAnsi="Calibri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2" w:type="paragraph">
    <w:name w:val="List Paragraph"/>
    <w:basedOn w:val="Style_4"/>
    <w:link w:val="Style_2_ch"/>
    <w:pPr>
      <w:ind w:firstLine="0" w:left="720"/>
    </w:pPr>
  </w:style>
  <w:style w:styleId="Style_2_ch" w:type="character">
    <w:name w:val="List Paragraph"/>
    <w:basedOn w:val="Style_4_ch"/>
    <w:link w:val="Style_2"/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4"/>
    <w:link w:val="Style_16_ch"/>
    <w:uiPriority w:val="39"/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toc 8"/>
    <w:next w:val="Style_4"/>
    <w:link w:val="Style_20_ch"/>
    <w:uiPriority w:val="39"/>
    <w:pPr>
      <w:ind w:firstLine="0" w:left="1400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Balloon Text"/>
    <w:basedOn w:val="Style_4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4_ch"/>
    <w:link w:val="Style_21"/>
    <w:rPr>
      <w:rFonts w:ascii="Segoe UI" w:hAnsi="Segoe UI"/>
      <w:sz w:val="1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5"/>
    <w:next w:val="Style_4"/>
    <w:link w:val="Style_23_ch"/>
    <w:uiPriority w:val="39"/>
    <w:pPr>
      <w:ind w:firstLine="0" w:left="800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Обычный1"/>
    <w:link w:val="Style_24_ch"/>
    <w:rPr>
      <w:rFonts w:ascii="Calibri" w:hAnsi="Calibri"/>
    </w:rPr>
  </w:style>
  <w:style w:styleId="Style_24_ch" w:type="character">
    <w:name w:val="Обычный1"/>
    <w:link w:val="Style_24"/>
    <w:rPr>
      <w:rFonts w:ascii="Calibri" w:hAnsi="Calibri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3" w:type="table">
    <w:name w:val="Сетка таблицы1"/>
    <w:basedOn w:val="Style_29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" w:type="table">
    <w:name w:val="Table Grid"/>
    <w:basedOn w:val="Style_29"/>
    <w:pPr>
      <w:spacing w:after="0" w:line="240" w:lineRule="auto"/>
      <w:ind/>
    </w:pPr>
    <w:rPr>
      <w:rFonts w:ascii="Calibri" w:hAnsi="Calibri"/>
      <w:sz w:val="20"/>
    </w:r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3" Target="stylesWithEffects.xml" Type="http://schemas.microsoft.com/office/2007/relationships/stylesWithEffects"/>
  <Relationship Id="rId22" Target="styles.xml" Type="http://schemas.openxmlformats.org/officeDocument/2006/relationships/styles"/>
  <Relationship Id="rId25" Target="theme/theme1.xml" Type="http://schemas.openxmlformats.org/officeDocument/2006/relationships/theme"/>
  <Relationship Id="rId21" Target="settings.xml" Type="http://schemas.openxmlformats.org/officeDocument/2006/relationships/settings"/>
  <Relationship Id="rId13" Target="media/13.png" Type="http://schemas.openxmlformats.org/officeDocument/2006/relationships/image"/>
  <Relationship Id="rId24" Target="webSettings.xml" Type="http://schemas.openxmlformats.org/officeDocument/2006/relationships/webSettings"/>
  <Relationship Id="rId11" Target="media/11.png" Type="http://schemas.openxmlformats.org/officeDocument/2006/relationships/image"/>
  <Relationship Id="rId18" Target="media/18.png" Type="http://schemas.openxmlformats.org/officeDocument/2006/relationships/image"/>
  <Relationship Id="rId17" Target="media/17.png" Type="http://schemas.openxmlformats.org/officeDocument/2006/relationships/image"/>
  <Relationship Id="rId10" Target="media/10.png" Type="http://schemas.openxmlformats.org/officeDocument/2006/relationships/image"/>
  <Relationship Id="rId26" Target="numbering.xml" Type="http://schemas.openxmlformats.org/officeDocument/2006/relationships/numbering"/>
  <Relationship Id="rId15" Target="media/15.png" Type="http://schemas.openxmlformats.org/officeDocument/2006/relationships/image"/>
  <Relationship Id="rId9" Target="media/9.png" Type="http://schemas.openxmlformats.org/officeDocument/2006/relationships/image"/>
  <Relationship Id="rId20" Target="fontTable.xml" Type="http://schemas.openxmlformats.org/officeDocument/2006/relationships/fontTable"/>
  <Relationship Id="rId19" Target="media/19.png" Type="http://schemas.openxmlformats.org/officeDocument/2006/relationships/image"/>
  <Relationship Id="rId8" Target="media/8.png" Type="http://schemas.openxmlformats.org/officeDocument/2006/relationships/image"/>
  <Relationship Id="rId7" Target="media/7.png" Type="http://schemas.openxmlformats.org/officeDocument/2006/relationships/image"/>
  <Relationship Id="rId14" Target="media/14.png" Type="http://schemas.openxmlformats.org/officeDocument/2006/relationships/image"/>
  <Relationship Id="rId6" Target="media/6.png" Type="http://schemas.openxmlformats.org/officeDocument/2006/relationships/image"/>
  <Relationship Id="rId5" Target="media/5.png" Type="http://schemas.openxmlformats.org/officeDocument/2006/relationships/image"/>
  <Relationship Id="rId4" Target="media/4.png" Type="http://schemas.openxmlformats.org/officeDocument/2006/relationships/image"/>
  <Relationship Id="rId16" Target="media/16.png" Type="http://schemas.openxmlformats.org/officeDocument/2006/relationships/image"/>
  <Relationship Id="rId12" Target="media/12.png" Type="http://schemas.openxmlformats.org/officeDocument/2006/relationships/imag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2024-03-07T11:36:59Z</dcterms:modified>
</cp:coreProperties>
</file>