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«Курганский базовый медицинский колледж»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ЭФФЕКТИВНОСТЬ ФИЗИОТЕРАПЕВТИЧЕСКОГО ВОЗДЕЙСТВИЯ В КОМПЛЕКСНОМ ЛЕЧЕНИИ ПАЦИЕНТОВ ПРИ МЕЖРЕБЕРНОЙ НЕВРАЛГИИ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Авторы:</w:t>
      </w:r>
      <w:r>
        <w:rPr>
          <w:rFonts w:ascii="Times New Roman" w:hAnsi="Times New Roman" w:cs="Times New Roman"/>
          <w:sz w:val="28"/>
          <w:szCs w:val="28"/>
        </w:rPr>
        <w:t xml:space="preserve"> Чистякова Анастасия, </w:t>
      </w:r>
      <w:r>
        <w:rPr>
          <w:rFonts w:ascii="Times New Roman" w:hAnsi="Times New Roman" w:cs="Times New Roman"/>
          <w:sz w:val="28"/>
          <w:szCs w:val="28"/>
        </w:rPr>
        <w:t xml:space="preserve">Камышлейцев</w:t>
      </w:r>
      <w:r>
        <w:rPr>
          <w:rFonts w:ascii="Times New Roman" w:hAnsi="Times New Roman" w:cs="Times New Roman"/>
          <w:sz w:val="28"/>
          <w:szCs w:val="28"/>
        </w:rPr>
        <w:t xml:space="preserve"> Максим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412 группы «Лечебное дело»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Белых Варвара Игоревна студентка 2 курса,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Лечебный факультет ФГБОУ ВО СЗГМУ им. И.И. Мечникова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Терещенко Ольга Геннадьевна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учебных дисциплин профессионального цикла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Межреберная невралгия —  это раздражение межреберных нервов, характеризующееся постоянной или приступообразной колющей болью в грудной кле</w:t>
      </w:r>
      <w:r>
        <w:rPr>
          <w:rFonts w:ascii="Times New Roman" w:hAnsi="Times New Roman" w:cs="Times New Roman"/>
          <w:sz w:val="28"/>
          <w:szCs w:val="28"/>
        </w:rPr>
        <w:t xml:space="preserve">тке в области ребер, боль может усилива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ся при движении, кашле, чихании, физической нагрузке и глубоком дыхании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[3]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Межреберная невралгия – одна из самых частых причин обра</w:t>
      </w:r>
      <w:r>
        <w:rPr>
          <w:rFonts w:ascii="Times New Roman" w:hAnsi="Times New Roman" w:cs="Times New Roman"/>
          <w:sz w:val="28"/>
          <w:szCs w:val="28"/>
        </w:rPr>
        <w:t xml:space="preserve">щения к врачу. Болевой синдром затрагивает все аспекты жизни пациента, включая физическое, поведенческое, психологическое и социальное функционирование. По данным Всемирной организации здравоохранения различными формами остеохондроза страдает от 70 до 85% </w:t>
      </w:r>
      <w:r>
        <w:rPr>
          <w:rFonts w:ascii="Times New Roman" w:hAnsi="Times New Roman" w:cs="Times New Roman"/>
          <w:sz w:val="28"/>
          <w:szCs w:val="28"/>
        </w:rPr>
        <w:t xml:space="preserve">мирового населения - это одна из ведущих проблем. Данной патологией часто страдают люди молодого,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и старшего </w:t>
      </w:r>
      <w:r>
        <w:rPr>
          <w:rFonts w:ascii="Times New Roman" w:hAnsi="Times New Roman" w:cs="Times New Roman"/>
          <w:sz w:val="28"/>
          <w:szCs w:val="28"/>
        </w:rPr>
        <w:t xml:space="preserve">возраста, составляющие наиболее многочисленную категорию трудоспособного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помнить</w:t>
      </w:r>
      <w:r>
        <w:rPr>
          <w:rFonts w:ascii="Times New Roman" w:hAnsi="Times New Roman" w:cs="Times New Roman"/>
          <w:sz w:val="28"/>
          <w:szCs w:val="28"/>
        </w:rPr>
        <w:t xml:space="preserve">, что межреберная невралгия имеет </w:t>
      </w:r>
      <w:r>
        <w:rPr>
          <w:rFonts w:ascii="Times New Roman" w:hAnsi="Times New Roman" w:cs="Times New Roman"/>
          <w:sz w:val="28"/>
          <w:szCs w:val="28"/>
        </w:rPr>
        <w:t xml:space="preserve">сходные </w:t>
      </w:r>
      <w:r>
        <w:rPr>
          <w:rFonts w:ascii="Times New Roman" w:hAnsi="Times New Roman" w:cs="Times New Roman"/>
          <w:sz w:val="28"/>
          <w:szCs w:val="28"/>
        </w:rPr>
        <w:t xml:space="preserve">симптомы с</w:t>
      </w:r>
      <w:r>
        <w:rPr>
          <w:rFonts w:ascii="Times New Roman" w:hAnsi="Times New Roman" w:cs="Times New Roman"/>
          <w:sz w:val="28"/>
          <w:szCs w:val="28"/>
        </w:rPr>
        <w:t xml:space="preserve"> такими серьезными состояниями </w:t>
      </w:r>
      <w:r>
        <w:rPr>
          <w:rFonts w:ascii="Times New Roman" w:hAnsi="Times New Roman" w:cs="Times New Roman"/>
          <w:sz w:val="28"/>
          <w:szCs w:val="28"/>
        </w:rPr>
        <w:t xml:space="preserve">как</w:t>
      </w:r>
      <w:r>
        <w:rPr>
          <w:rFonts w:ascii="Times New Roman" w:hAnsi="Times New Roman" w:cs="Times New Roman"/>
          <w:sz w:val="28"/>
          <w:szCs w:val="28"/>
        </w:rPr>
        <w:t xml:space="preserve"> стенокардия,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инфаркт миокарда, </w:t>
      </w:r>
      <w:r>
        <w:rPr>
          <w:rFonts w:ascii="Times New Roman" w:hAnsi="Times New Roman" w:cs="Times New Roman"/>
          <w:sz w:val="28"/>
          <w:szCs w:val="28"/>
        </w:rPr>
        <w:t xml:space="preserve">компрессионные переломы позвонков, пораженных, например, остеопорозом, повреждения сердца или легких, тромбоэмболия легочной артерии, плеврит, реберный хондрит и опухоли</w:t>
      </w:r>
      <w:r>
        <w:rPr>
          <w:rFonts w:ascii="Times New Roman" w:hAnsi="Times New Roman" w:cs="Times New Roman"/>
          <w:sz w:val="28"/>
          <w:szCs w:val="28"/>
        </w:rPr>
        <w:t xml:space="preserve"> [6]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Поэтому данная проблема </w:t>
      </w:r>
      <w:r>
        <w:rPr>
          <w:rFonts w:ascii="Times New Roman" w:hAnsi="Times New Roman" w:cs="Times New Roman"/>
          <w:sz w:val="28"/>
          <w:szCs w:val="28"/>
        </w:rPr>
        <w:t xml:space="preserve">требует дальнейшего изучения</w:t>
      </w:r>
      <w:r>
        <w:rPr>
          <w:rFonts w:ascii="Times New Roman" w:hAnsi="Times New Roman" w:cs="Times New Roman"/>
          <w:sz w:val="28"/>
          <w:szCs w:val="28"/>
        </w:rPr>
        <w:t xml:space="preserve">, поиска новых методов своевременной и точной диагностики, лечения, чтобы в будущем не совершалось ошибок в постановлении правильного диагноза.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изучить э</w:t>
      </w:r>
      <w:r>
        <w:rPr>
          <w:rFonts w:ascii="Times New Roman" w:hAnsi="Times New Roman" w:cs="Times New Roman"/>
          <w:sz w:val="28"/>
          <w:szCs w:val="28"/>
        </w:rPr>
        <w:t xml:space="preserve">ффективность физиотерапевтического воздействия в комплексном лечении пациентов при межреберной невралгии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данные современной литературы по изучаемой тематике и составить краткий литературный обзор.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Изучить э</w:t>
      </w:r>
      <w:r>
        <w:rPr>
          <w:rFonts w:ascii="Times New Roman" w:hAnsi="Times New Roman" w:cs="Times New Roman"/>
          <w:sz w:val="28"/>
          <w:szCs w:val="28"/>
        </w:rPr>
        <w:t xml:space="preserve">ффективность физиотерапевтического воздействия в комплексном лечении пациентов при межреберной невралгии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Провести анализ статистических данных по заболеваемости межреберной невралгии на территории г. Кургана.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sz w:val="28"/>
          <w:szCs w:val="28"/>
        </w:rPr>
        <w:t xml:space="preserve">ффективность физиотерапевтического воздействия в комплексном лечении пациентов при межреберной невралгии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особенности лечения пациентов при межреберной невралгии.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</w:rPr>
        <w:t xml:space="preserve">в нашем исследовании мы предположили, что физиотерапевтическое воздействие в комплексном лечении пациентов при межреберной невралгии имеет большую эффективность.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значимость: </w:t>
      </w: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физиотерапевтического воздействия в комплексном лечении пациентов при межреберной невралгии</w:t>
      </w:r>
      <w:r>
        <w:rPr>
          <w:rFonts w:ascii="Times New Roman" w:hAnsi="Times New Roman" w:cs="Times New Roman"/>
          <w:sz w:val="28"/>
          <w:szCs w:val="28"/>
        </w:rPr>
        <w:t xml:space="preserve"> и его анализ могут быть использованы при разработке организационных, профилактических, лечебных мероприятий, а также для внедрения в практику методов рационального ведения пациентов данной категории.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Теоретический анализ специальной литературы.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Сравнительный анализ методических материалов.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Анализ стационарных карт пациентов.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Статистическая обработка данных.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и объем работы.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 темы, цель и задачи исследования определили логическую структуру работы, которая состоит из введения, трех глав, выводов, заключения и списка источников.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введении обозначается актуальность, проблема и степень ее изученности, цель и задачи исследования,  а также методы исследования.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освещаются теоретические аспекты изучения поставленной темы исследования. Описываются основные особенности течения межреберной невралгии.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глава посвящена особенностям лечения пациентов  и эффективности  физиотерапевтического воздействия в комплексном лечении при межреберной невралгии.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главе приведен анализ заболеваемости межреберной невралгией в г. Кургане, статистических данных.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АСПЕКТЫ ИЗУЧЕНИЯ ЭФФЕКТИВНОСТИ ФИЗИОТЕРАПЕВТИЧЕСКОГО ВОЗДЕЙСТВИЯ В КОМПЛЕКСНОМ ЛЕЧЕНИИ ПАЦИЕНТОВ ПРИ МЕЖРЕБЕРНОЙ НЕВРАЛГИИ.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Определение и </w:t>
      </w:r>
      <w:r>
        <w:rPr>
          <w:rFonts w:ascii="Times New Roman" w:hAnsi="Times New Roman" w:cs="Times New Roman"/>
          <w:b/>
          <w:sz w:val="28"/>
          <w:szCs w:val="28"/>
        </w:rPr>
        <w:t xml:space="preserve">этиопатогенез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межреберной невралгии.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Межреберная невралгия — болевой синдром, вызванный поражением нерва, находящегося в межреберной зоне. Характеризуется появлением неприятных ощущений в области груди из-з</w:t>
      </w:r>
      <w:r>
        <w:rPr>
          <w:rFonts w:ascii="Times New Roman" w:hAnsi="Times New Roman" w:cs="Times New Roman"/>
          <w:sz w:val="28"/>
          <w:szCs w:val="28"/>
        </w:rPr>
        <w:t xml:space="preserve">а сдавливания нервных корешков. Очень редко </w:t>
      </w:r>
      <w:r>
        <w:rPr>
          <w:rFonts w:ascii="Times New Roman" w:hAnsi="Times New Roman" w:cs="Times New Roman"/>
          <w:sz w:val="28"/>
          <w:szCs w:val="28"/>
        </w:rPr>
        <w:t xml:space="preserve">встречается у детей, но часто может быть у лиц среднего или старшего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[9]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 бы удивительно это не звучало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но зачастую сам чел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овек, а вернее его образ жизни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привычки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является источником межре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берной невралгии: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прене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брежение физическими нагрузками;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злоупотребление алкоголем;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не умение сле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дить за осанкой;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долгое времяпровождение в неудобной позе;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-стресс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[15]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Также 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ричинами возникновения невралгии являются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такие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факторы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как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продолжительное действие холода;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наличие в организме воспалительных процессов;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травмирование грудной клетки (провоцирует радикулит);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часто к развитию патологии приводят давние травмы, которые на протяжении долгого времени не давали о себе знать;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новообразования спинного мозга, которые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располагаются в грудном отделе;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отрицательное влияние на организм ток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синов, длительные интоксикации;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повреждение нервных оболочек;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заболевания желудка или кишечника, способствующие развитию недостатка в тканях витаминов группы В;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изменения позвоночника: остеохондроз, межпозвоночная грыжа, нарушение двигательной функции, искривления,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спондилопатия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вызванная эндокринными нарушениями;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возрастные расстройства в организме;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диабет;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постоянная усталость, частые стрессы;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наличие инфекционных очагов, иногда заболевание может начаться после активации вируса герпеса;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воспаление плевры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[4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20]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невралгии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может быть формирование аневризмы грудной аорты. Защемление нерва вызвано следующими причинами: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сокращением межреберных, брюшных мускулов (это приводит к </w:t>
      </w:r>
      <w:r>
        <w:rPr>
          <w:rFonts w:ascii="Times New Roman" w:hAnsi="Times New Roman" w:cs="Times New Roman"/>
          <w:sz w:val="28"/>
          <w:szCs w:val="28"/>
        </w:rPr>
        <w:t xml:space="preserve">перерастяжению</w:t>
      </w:r>
      <w:r>
        <w:rPr>
          <w:rFonts w:ascii="Times New Roman" w:hAnsi="Times New Roman" w:cs="Times New Roman"/>
          <w:sz w:val="28"/>
          <w:szCs w:val="28"/>
        </w:rPr>
        <w:t xml:space="preserve"> и изменению положения нервов);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растяжением брюшной полости;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формированием рубцовой ткани вокруг нервов после травмы;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напряжением брюшной мускулатуры;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сколиозом.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ногда болезнь развивается как следствие операции на органах грудной клетки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[7]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Патогенез межреберной невралгии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классическом варианте механизм острой межреберной невралгии связан с активацией болевых рецепторо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цитокинами, выделившимися из поврежденно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й ткани. В результате механического действия костных структур на нерв происходит массивный выброс медиаторов воспаления (цитокинов), которые провоцируют отек и воспалительный процесс в окружающих нерв тканях. Межпозвоночные и межреберные мышцы рефлекторно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спазмируются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по механизму биологической обратной связи и тем самым усиливают воспаление и боль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[8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; 10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Но при воздействии на нерв токсических веществ, физических факторов, вирусов и бакте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рий, опухолей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ВИЧ-инфекции, лучевой болезни, плеврита или пневмонии возникают схожие симптомы.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Межреберная невралгия может быть проявлением функционального заболевания нервной системы, истерии, неврастении. В исключительных случаях может возникать как следствие оперативного вме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шательства на грудной клетке.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Клиническая картина и осложнения межреберной невралгии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Основные проявления МРН — резкие интен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сивные стреляющие боли, также часто может наблюдаться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жжение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области грудной клетки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Боль носит постоянный характер и может включать любой из межреберных нервов и нерв 12-го ребра. Болевые ощущения обычно начинаются у задней подмыш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ечной линии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иррадируют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вперед,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область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пораженного межреберья.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Глубокий вдох или движения грудной клетки усиливают болевые ощущения.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Кожа может быть болезненной на ощупь, чувствительна к прикосновениям или наоборот — может иметь пониженную чувствительность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[11]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Главным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симптомом является болезненность в груди. Она бывает двухсторонней, колющей, острой, ноющей и т.д. У человека часто болит внутри и вдоль грудно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й клетки, под ребрами, в правом и левом подреберье.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Пациент чувствует болезненность и по ходу ребер. Она усиливается во время дыхания, чихания, смеха, после физических нагрузок. Фиксируются и другие признаки невралгии участка нервной системы: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появление дискомфортных ощущений в спине;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жжение в груди;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болевые ощущения слева или справа (они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часто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неправильно принимаются за стенокардию);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онемение и покалывание в области груди, конечностей;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боль в животе (может приниматься за патологии, относящиеся к категории острого живота);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появление боли, которая может отдавать в желудок;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снижение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или полная потеря аппетита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;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одышка;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скачок температуры тела;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головокружение;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левые ощущения в плечевом поясе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[12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; 16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 хождении и в спокойном состоянии возможно появление кратковременных болевых импульсов, «обжигающих волн». Болезненные ощущения бывают постоянными, из-за чего больному бывает тяжело дышать, ходить. Постоянные боли возникают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уже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тяжелых случаях, когда больной нуждается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незамедлительной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экстренной помощи. Разного рода неприятные ощущения могут быть повторяющимися, возникающими в разное время суток. Все они тревожат пациента не каждый день, а при некоторых обстоятельствах, например, во время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ли после физической нагрузки. В этом случае люди редко спешат к неврологу, считая, что все неприятные ощущения вскоре пройдут. Это неправильное отношение к себе, потому что болезнь без необходимого лечения начнет быстро прогрессировать. Невралгия возможна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 время беременности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[13]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Женщина может почувствовать периодически появляющуюся болезненность в области сердца. Почувствовав боль, женщине не нужно нервничать по поводу того, чем она опасна. При появлении нестандартных ощущений во время беременности следует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незамедлительно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обратиться к врачу. Боль в сердце отличается от боли при невралгии по таким признакам: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-при сердечных болезнях боль чаще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появля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ется слева и на короткое время;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купируется путем применения Нитроглицерина под язык;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отдает в руку;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не меняется при глубоком вздохе;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наблюдаются расстройства сердечного ритма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[17]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Осложнения межреберной невралгии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Когда говорят об осложнениях межреберной невралгии, как правило, упоминают о наиболее распространенном —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постпроцедурной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боли в результате интервенционного лечения. Местная боль возникает в течение нескольких дней после почти всех видов процедур. 20% пациентов, которые получали радиочастотную терапию, сообщили, что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послепроцедурная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боль пр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одолжалось несколько недель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[14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Основные осложнения межреберной блокады нерва — пневмоторакс и внутрисосудистые инъекции местных анестетиков. Для обнаружения этих осложнений необходим тщательный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постпроцедурный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мониторинг.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Другие редкие осложнения, связанные 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блокадой межреберного нерва: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инфекции;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гемоторакс;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кровохарканье;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гематомы;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некроз тканей;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неврит;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респираторная недостаточность;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субарахноидальный блок;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аллергическая реакция на местные анестетики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[4]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Диагностика межреберной невралгии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Диагноз межреберной невралгии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 xml:space="preserve">выставлен на основании истории жалоб пациента</w:t>
      </w:r>
      <w:r>
        <w:rPr>
          <w:rFonts w:ascii="Times New Roman" w:hAnsi="Times New Roman" w:cs="Times New Roman"/>
          <w:sz w:val="28"/>
          <w:szCs w:val="28"/>
        </w:rPr>
        <w:t xml:space="preserve"> (характер болей, локализация, интенсивность, длительность болей, наличие иррадиации, усиление болей при движениях туловища) внешнего осмотра (наличие деформаций позвоночника), наличие болезненности при пальпации в области прикрепления ребер к грудине или </w:t>
      </w:r>
      <w:r>
        <w:rPr>
          <w:rFonts w:ascii="Times New Roman" w:hAnsi="Times New Roman" w:cs="Times New Roman"/>
          <w:sz w:val="28"/>
          <w:szCs w:val="28"/>
        </w:rPr>
        <w:t xml:space="preserve">паравертебральных</w:t>
      </w:r>
      <w:r>
        <w:rPr>
          <w:rFonts w:ascii="Times New Roman" w:hAnsi="Times New Roman" w:cs="Times New Roman"/>
          <w:sz w:val="28"/>
          <w:szCs w:val="28"/>
        </w:rPr>
        <w:t xml:space="preserve"> точек в грудном отделе позвоночника. При необходимости дифференцировать с кардиальным характером болей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проведение ЭКГ. Для выявления дегенеративных изменений в позвоночнике применяются такие инструментальные методы исследования как рентгенография, КТ, МРТ. Кроме того, для диагностики остеопороза необходимо провести денситометрию</w:t>
      </w:r>
      <w:r>
        <w:rPr>
          <w:rFonts w:ascii="Times New Roman" w:hAnsi="Times New Roman" w:cs="Times New Roman"/>
          <w:sz w:val="28"/>
          <w:szCs w:val="28"/>
        </w:rPr>
        <w:t xml:space="preserve"> [18</w:t>
      </w:r>
      <w:r>
        <w:rPr>
          <w:rFonts w:ascii="Times New Roman" w:hAnsi="Times New Roman" w:cs="Times New Roman"/>
          <w:sz w:val="28"/>
          <w:szCs w:val="28"/>
        </w:rPr>
        <w:t xml:space="preserve">]</w:t>
      </w:r>
      <w:r>
        <w:rPr>
          <w:rFonts w:ascii="Times New Roman" w:hAnsi="Times New Roman" w:cs="Times New Roman"/>
          <w:sz w:val="28"/>
          <w:szCs w:val="28"/>
        </w:rPr>
        <w:t xml:space="preserve">. Для выявления степени повреждения нервных волокон может быть использовано ЭМГ. 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абораторная диагностика: общий и биохимический анализ крови, общий анализ мочи: позволяет выявить признаки поражения сердечной мышцы (тесты на </w:t>
      </w:r>
      <w:r>
        <w:rPr>
          <w:rFonts w:ascii="Times New Roman" w:hAnsi="Times New Roman" w:cs="Times New Roman"/>
          <w:sz w:val="28"/>
          <w:szCs w:val="28"/>
        </w:rPr>
        <w:t xml:space="preserve">тропонины</w:t>
      </w:r>
      <w:r>
        <w:rPr>
          <w:rFonts w:ascii="Times New Roman" w:hAnsi="Times New Roman" w:cs="Times New Roman"/>
          <w:sz w:val="28"/>
          <w:szCs w:val="28"/>
        </w:rPr>
        <w:t xml:space="preserve">, КФК), воспаление, почечную патологию, заболевания желудочно-кишечного тракта и т.п.; точный набор анализов за</w:t>
      </w:r>
      <w:r>
        <w:rPr>
          <w:rFonts w:ascii="Times New Roman" w:hAnsi="Times New Roman" w:cs="Times New Roman"/>
          <w:sz w:val="28"/>
          <w:szCs w:val="28"/>
        </w:rPr>
        <w:t xml:space="preserve">висит от локализации очага боли.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Клинические и биохимические доказательства межреберной невралгии.</w:t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8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rPr>
          <w:jc w:val="center"/>
        </w:trPr>
        <w:tc>
          <w:tcPr>
            <w:tcW w:w="3190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3191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Пациент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W w:w="3190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r>
          </w:p>
        </w:tc>
        <w:tc>
          <w:tcPr>
            <w:tcW w:w="3191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8-9x10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r>
          </w:p>
        </w:tc>
      </w:tr>
      <w:tr>
        <w:trPr>
          <w:jc w:val="center"/>
        </w:trPr>
        <w:tc>
          <w:tcPr>
            <w:tcW w:w="3190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2-15 мм/ч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91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16-25 мм/ч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W w:w="3190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2,25-2,75 ммоль/л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91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3,0-3,5 ммоль/л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W w:w="3190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10-1020 г/л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91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1030-1040 г/л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 к диагностике межреберной невралгии должен быть основан на исключении в первую очередь соматических причин болей (заболевания сердца, заболевания почек,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энд</w:t>
      </w:r>
      <w:r>
        <w:rPr>
          <w:rFonts w:ascii="Times New Roman" w:hAnsi="Times New Roman" w:cs="Times New Roman"/>
          <w:sz w:val="28"/>
          <w:szCs w:val="28"/>
        </w:rPr>
        <w:t xml:space="preserve">окринных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Физический осмотр обычно дает минимальные результа</w:t>
      </w:r>
      <w:r>
        <w:rPr>
          <w:rFonts w:ascii="Times New Roman" w:hAnsi="Times New Roman" w:cs="Times New Roman"/>
          <w:sz w:val="28"/>
          <w:szCs w:val="28"/>
        </w:rPr>
        <w:t xml:space="preserve">ты, если только у пациента нет </w:t>
      </w:r>
      <w:r>
        <w:rPr>
          <w:rFonts w:ascii="Times New Roman" w:hAnsi="Times New Roman" w:cs="Times New Roman"/>
          <w:sz w:val="28"/>
          <w:szCs w:val="28"/>
        </w:rPr>
        <w:t xml:space="preserve">в анамнезе операции на грудной клетке (грудн</w:t>
      </w:r>
      <w:r>
        <w:rPr>
          <w:rFonts w:ascii="Times New Roman" w:hAnsi="Times New Roman" w:cs="Times New Roman"/>
          <w:sz w:val="28"/>
          <w:szCs w:val="28"/>
        </w:rPr>
        <w:t xml:space="preserve">ая или подреберная хирургия)</w:t>
      </w:r>
      <w:r>
        <w:rPr>
          <w:rFonts w:ascii="Times New Roman" w:hAnsi="Times New Roman" w:cs="Times New Roman"/>
          <w:sz w:val="28"/>
          <w:szCs w:val="28"/>
        </w:rPr>
        <w:t xml:space="preserve">. Предпочтительно проводить осмотр грудного отдела позвоночника с пациентом в сидячем положении и включать осмотр в покое и пальпацию позвонков и </w:t>
      </w:r>
      <w:r>
        <w:rPr>
          <w:rFonts w:ascii="Times New Roman" w:hAnsi="Times New Roman" w:cs="Times New Roman"/>
          <w:sz w:val="28"/>
          <w:szCs w:val="28"/>
        </w:rPr>
        <w:t xml:space="preserve">паравертебральных</w:t>
      </w:r>
      <w:r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 xml:space="preserve"> [19]</w:t>
      </w:r>
      <w:r>
        <w:rPr>
          <w:rFonts w:ascii="Times New Roman" w:hAnsi="Times New Roman" w:cs="Times New Roman"/>
          <w:sz w:val="28"/>
          <w:szCs w:val="28"/>
        </w:rPr>
        <w:t xml:space="preserve">. Провокация боли путем проведения пассивных поворотов вперед, сгибание, обратное сгибание и боковые сгибания, в частности, могут указывать на то, что боль им</w:t>
      </w:r>
      <w:r>
        <w:rPr>
          <w:rFonts w:ascii="Times New Roman" w:hAnsi="Times New Roman" w:cs="Times New Roman"/>
          <w:sz w:val="28"/>
          <w:szCs w:val="28"/>
        </w:rPr>
        <w:t xml:space="preserve">еет спинальное происхождение.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на осмотре пациент наклоняет туловище в здоровую сторону, уменьшая, таким образом, давление на пораженный межреберный нерв. Если повреждено несколько нервов, невролог при осмотре может определить зону </w:t>
      </w:r>
      <w:r>
        <w:rPr>
          <w:rFonts w:ascii="Times New Roman" w:hAnsi="Times New Roman" w:cs="Times New Roman"/>
          <w:sz w:val="28"/>
          <w:szCs w:val="28"/>
        </w:rPr>
        <w:t xml:space="preserve">понижения или выпадения чувствительности определенных участков кожи туловища.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боли локализуются в области сердца, проводится дифференциальная диагностика с заболеваниями сердечно-сосудистой системы (например, стен</w:t>
      </w:r>
      <w:r>
        <w:rPr>
          <w:rFonts w:ascii="Times New Roman" w:hAnsi="Times New Roman" w:cs="Times New Roman"/>
          <w:sz w:val="28"/>
          <w:szCs w:val="28"/>
        </w:rPr>
        <w:t xml:space="preserve">окардией, которая, в отличие от </w:t>
      </w:r>
      <w:r>
        <w:rPr>
          <w:rFonts w:ascii="Times New Roman" w:hAnsi="Times New Roman" w:cs="Times New Roman"/>
          <w:sz w:val="28"/>
          <w:szCs w:val="28"/>
        </w:rPr>
        <w:t xml:space="preserve">МРН, купируется приемом </w:t>
      </w:r>
      <w:r>
        <w:rPr>
          <w:rFonts w:ascii="Times New Roman" w:hAnsi="Times New Roman" w:cs="Times New Roman"/>
          <w:sz w:val="28"/>
          <w:szCs w:val="28"/>
        </w:rPr>
        <w:t xml:space="preserve">нитроглицерина). </w:t>
      </w:r>
      <w:r>
        <w:rPr>
          <w:rFonts w:ascii="Times New Roman" w:hAnsi="Times New Roman" w:cs="Times New Roman"/>
          <w:sz w:val="28"/>
          <w:szCs w:val="28"/>
        </w:rPr>
        <w:t xml:space="preserve">Стенокардия характеризуется болевым</w:t>
      </w:r>
      <w:r>
        <w:rPr>
          <w:rFonts w:ascii="Times New Roman" w:hAnsi="Times New Roman" w:cs="Times New Roman"/>
          <w:sz w:val="28"/>
          <w:szCs w:val="28"/>
        </w:rPr>
        <w:t xml:space="preserve"> приступом сжимающего характера, ее провоцирует физическая нагрузка, и она не связана с поворотами туловища, чиханием и т. п. Чтобы исключить ишемическую болезнь сердца, нужно провести ЭКГ и при необходимости направить пациента на консультацию к кардиологу</w:t>
      </w:r>
      <w:r>
        <w:rPr>
          <w:rFonts w:ascii="Times New Roman" w:hAnsi="Times New Roman" w:cs="Times New Roman"/>
          <w:sz w:val="28"/>
          <w:szCs w:val="28"/>
        </w:rPr>
        <w:t xml:space="preserve"> [21]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поражены нижние межреберные нервы, болевой синдром имеет сходства с заболеваниями желудочно-кишечного тракта (гастрит, я</w:t>
      </w:r>
      <w:r>
        <w:rPr>
          <w:rFonts w:ascii="Times New Roman" w:hAnsi="Times New Roman" w:cs="Times New Roman"/>
          <w:sz w:val="28"/>
          <w:szCs w:val="28"/>
        </w:rPr>
        <w:t xml:space="preserve">зва желудка, острый панкреатит). Следует отметить, что при заболеваниях желудка боль обычно носит более длительный и менее интенсивный характер и, как правило, связана с приемом пищи. Панкреатит характеризуется опоясывающими болями двустороннего характера.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исключить патологию органов ЖКТ, целесообразно провести дополнительные обследования: анализ панкреатических ферментов в крови, гастроскопия и пр</w:t>
      </w:r>
      <w:r>
        <w:rPr>
          <w:rFonts w:ascii="Times New Roman" w:hAnsi="Times New Roman" w:cs="Times New Roman"/>
          <w:sz w:val="28"/>
          <w:szCs w:val="28"/>
        </w:rPr>
        <w:t xml:space="preserve">очее</w:t>
      </w:r>
      <w:r>
        <w:rPr>
          <w:rFonts w:ascii="Times New Roman" w:hAnsi="Times New Roman" w:cs="Times New Roman"/>
          <w:sz w:val="28"/>
          <w:szCs w:val="28"/>
        </w:rPr>
        <w:t xml:space="preserve"> [17]</w:t>
      </w:r>
      <w:r>
        <w:rPr>
          <w:rFonts w:ascii="Times New Roman" w:hAnsi="Times New Roman" w:cs="Times New Roman"/>
          <w:sz w:val="28"/>
          <w:szCs w:val="28"/>
        </w:rPr>
        <w:t xml:space="preserve">. Если межреберная невралгия возникает как симптом грудного радикулита, то болевые пароксизмы протекают на фоне постоянных тупых болей в спине, уменьшающихся при разгрузке позвоночника в горизонтальном положении.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состояния позвоночника проводится рентгенография грудного отдела, при подозрении на межпозвоночную грыжу — МРТ позвоночника.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МРН встречается при некоторых</w:t>
      </w:r>
      <w:r>
        <w:rPr>
          <w:rFonts w:ascii="Times New Roman" w:hAnsi="Times New Roman" w:cs="Times New Roman"/>
          <w:sz w:val="28"/>
          <w:szCs w:val="28"/>
        </w:rPr>
        <w:t xml:space="preserve"> заболеваниях легких (атипичной </w:t>
      </w:r>
      <w:r>
        <w:rPr>
          <w:rFonts w:ascii="Times New Roman" w:hAnsi="Times New Roman" w:cs="Times New Roman"/>
          <w:sz w:val="28"/>
          <w:szCs w:val="28"/>
        </w:rPr>
        <w:t xml:space="preserve">пневмонии, плеврите, раке легкого).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ГЛАВА 2 ФИЗИОТЕРАПЕВТИЧЕСКОЕ ЛЕЧЕНИЕ ПРИ МЕЖРЕБЕРНОЙ НЕВРАЛГИИ.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Понятие физиотерапии и ее методы.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Физиотерапия — эффективный метод оздоровления призванный уменьшить боль, снять отеки и воспаление. Зачастую физ</w:t>
      </w:r>
      <w:r>
        <w:rPr>
          <w:rFonts w:ascii="Times New Roman" w:hAnsi="Times New Roman" w:cs="Times New Roman"/>
          <w:sz w:val="28"/>
          <w:szCs w:val="28"/>
        </w:rPr>
        <w:t xml:space="preserve">иотерапевтическое лечение </w:t>
      </w:r>
      <w:r>
        <w:rPr>
          <w:rFonts w:ascii="Times New Roman" w:hAnsi="Times New Roman" w:cs="Times New Roman"/>
          <w:sz w:val="28"/>
          <w:szCs w:val="28"/>
        </w:rPr>
        <w:t xml:space="preserve">назначается в дополнение к основной комплексной программе лечения, хорошо сочетается с массажем, мануальной терапией, иглорефлексотерапией. ФТЛ позволяет ускорить достижение желаемых результатов лечения.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подостром периоде межреберной невралгии помогут такие </w:t>
      </w:r>
      <w:r>
        <w:rPr>
          <w:rFonts w:ascii="Times New Roman" w:hAnsi="Times New Roman" w:cs="Times New Roman"/>
          <w:sz w:val="28"/>
          <w:szCs w:val="28"/>
        </w:rPr>
        <w:t xml:space="preserve">методы физиотерапевтического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как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Транскраниальная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электроанальгезия</w:t>
      </w:r>
      <w:r>
        <w:rPr>
          <w:rFonts w:ascii="Times New Roman" w:hAnsi="Times New Roman" w:cs="Times New Roman"/>
          <w:sz w:val="28"/>
          <w:szCs w:val="28"/>
        </w:rPr>
        <w:t xml:space="preserve">. Подразумевает воздействие низкочастотного импульсного тока на воспаленные участки. Обладает обезболивающим и успокаивающим действием. Для избавления от неприятных ощущений достаточ</w:t>
      </w:r>
      <w:r>
        <w:rPr>
          <w:rFonts w:ascii="Times New Roman" w:hAnsi="Times New Roman" w:cs="Times New Roman"/>
          <w:sz w:val="28"/>
          <w:szCs w:val="28"/>
        </w:rPr>
        <w:t xml:space="preserve">но 5–10 сеансов по 20–40 минут.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Диадинамотерапия</w:t>
      </w:r>
      <w:r>
        <w:rPr>
          <w:rFonts w:ascii="Times New Roman" w:hAnsi="Times New Roman" w:cs="Times New Roman"/>
          <w:sz w:val="28"/>
          <w:szCs w:val="28"/>
        </w:rPr>
        <w:t xml:space="preserve">. Для снятия болевых ощущений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полусинусоидальные</w:t>
      </w:r>
      <w:r>
        <w:rPr>
          <w:rFonts w:ascii="Times New Roman" w:hAnsi="Times New Roman" w:cs="Times New Roman"/>
          <w:sz w:val="28"/>
          <w:szCs w:val="28"/>
        </w:rPr>
        <w:t xml:space="preserve"> импульсные токи. Длится процедура полчаса, проводят ее каждые 5–7 минут.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Флюктуоризация</w:t>
      </w:r>
      <w:r>
        <w:rPr>
          <w:rFonts w:ascii="Times New Roman" w:hAnsi="Times New Roman" w:cs="Times New Roman"/>
          <w:sz w:val="28"/>
          <w:szCs w:val="28"/>
        </w:rPr>
        <w:t xml:space="preserve">. Применяемые в ходе лечения флюктуирующие токи устраняют болевой синдром, восстанавливают сократительную активность мышц, способствуют быстрому восстановлению тканей. Курс лечения длится 3–6 дней, 1 сеанс </w:t>
      </w:r>
      <w:r>
        <w:rPr>
          <w:rFonts w:ascii="Times New Roman" w:hAnsi="Times New Roman" w:cs="Times New Roman"/>
          <w:sz w:val="28"/>
          <w:szCs w:val="28"/>
        </w:rPr>
        <w:t xml:space="preserve">флюктуоризации</w:t>
      </w:r>
      <w:r>
        <w:rPr>
          <w:rFonts w:ascii="Times New Roman" w:hAnsi="Times New Roman" w:cs="Times New Roman"/>
          <w:sz w:val="28"/>
          <w:szCs w:val="28"/>
        </w:rPr>
        <w:t xml:space="preserve"> занимает 5–10 минут.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УВЧ–терапия. На пораже</w:t>
      </w:r>
      <w:r>
        <w:rPr>
          <w:rFonts w:ascii="Times New Roman" w:hAnsi="Times New Roman" w:cs="Times New Roman"/>
          <w:sz w:val="28"/>
          <w:szCs w:val="28"/>
        </w:rPr>
        <w:t xml:space="preserve">нные ткани воздействуют электрическим полем высокой частоты, снижающим интенсивность болевых ощущений, нормализующим кровоснабжение и питание нервных корешков. При прохождении полного курса, состоящего из 6–12 процедур, повышаются защитные силы организма.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Ультразвуковая терапия. Ультразвук прогревает пораженные участки, усиливая кровообращение, восстанавливая питание тканей. Снижение интенсивности воспаления помогает избавиться от боли. Курс лечения состоит из 6–12 сеансов по 15–20 минут.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Дарсонвализация. Аппарат </w:t>
      </w:r>
      <w:r>
        <w:rPr>
          <w:rFonts w:ascii="Times New Roman" w:hAnsi="Times New Roman" w:cs="Times New Roman"/>
          <w:sz w:val="28"/>
          <w:szCs w:val="28"/>
        </w:rPr>
        <w:t xml:space="preserve">Дарсонваль</w:t>
      </w:r>
      <w:r>
        <w:rPr>
          <w:rFonts w:ascii="Times New Roman" w:hAnsi="Times New Roman" w:cs="Times New Roman"/>
          <w:sz w:val="28"/>
          <w:szCs w:val="28"/>
        </w:rPr>
        <w:t xml:space="preserve"> генерирует импульсные токи слабой мощности и высокой частоты. Процедура нормализует питание тканей, стимулирует их регенерацию. Для избавления от межреберной невралгии потребуется 10–15 сеансов по 10 минут</w:t>
      </w:r>
      <w:r>
        <w:rPr>
          <w:rFonts w:ascii="Times New Roman" w:hAnsi="Times New Roman" w:cs="Times New Roman"/>
          <w:sz w:val="28"/>
          <w:szCs w:val="28"/>
        </w:rPr>
        <w:t xml:space="preserve">. Лечение проводится ежедневно.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Магнитотерапия. Низкочастотное переменное или постоянное магнитное поле стимулирует процессы заживления, снимает боль и отечность. Терапевтический курс включает 20 процедур по полчаса.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Лечение лазером. Обладает обезболивающим, общеукрепляющим и заживляющим действием. Для избавления от болей проходят не менее 10 сеансов по 15 минут.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Электрофорез с анальгетиками. Воздействие электрического тока обеспечивает доставку лекарственного средства к воспаленным нервным окончаниям.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Аппликации парафина. Нормализуют кровоток, питание и обмен веществ в тканях, способствуют быстрому заживлению.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Грязелечение. Лечебные грязи избавляют от болевого синдрома и признаков воспаления, обеспечивают поступлен</w:t>
      </w:r>
      <w:r>
        <w:rPr>
          <w:rFonts w:ascii="Times New Roman" w:hAnsi="Times New Roman" w:cs="Times New Roman"/>
          <w:sz w:val="28"/>
          <w:szCs w:val="28"/>
        </w:rPr>
        <w:t xml:space="preserve">ие питательных веществ в ткани.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Иглорефлексотерапия. Воздействует на биологически активные точки, ответственные за возникновение болевых ощущений. Проводится курсами по 10–20 процедур.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Массаж спины. Помогает избавиться от неприятных ощущений при заболеваниях позвоночника</w:t>
      </w:r>
      <w:r>
        <w:rPr>
          <w:rFonts w:ascii="Times New Roman" w:hAnsi="Times New Roman" w:cs="Times New Roman"/>
          <w:sz w:val="28"/>
          <w:szCs w:val="28"/>
        </w:rPr>
        <w:t xml:space="preserve"> [18</w:t>
      </w:r>
      <w:r>
        <w:rPr>
          <w:rFonts w:ascii="Times New Roman" w:hAnsi="Times New Roman" w:cs="Times New Roman"/>
          <w:sz w:val="28"/>
          <w:szCs w:val="28"/>
        </w:rPr>
        <w:t xml:space="preserve">; 20</w:t>
      </w:r>
      <w:r>
        <w:rPr>
          <w:rFonts w:ascii="Times New Roman" w:hAnsi="Times New Roman" w:cs="Times New Roman"/>
          <w:sz w:val="28"/>
          <w:szCs w:val="28"/>
        </w:rPr>
        <w:t xml:space="preserve">]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предлагаем выяснить какой именно метод физиотерапии является наиболее эффективным. По статистическим данным, мы имеем следующее процентное соотношение (рис.1)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>
        <w:rPr>
          <w:rFonts w:ascii="Times New Roman" w:hAnsi="Times New Roman" w:cs="Times New Roman"/>
          <w:sz w:val="28"/>
          <w:szCs w:val="28"/>
        </w:rPr>
        <w:t xml:space="preserve">Физиотерапевтические методы лечение (показатели эффективности)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видим, что каждый из представленных выше видов физиотерапии будет иметь свою специфику воздействия на организм, поэтому сказать какие методы показывают лучшие результаты практически невозможно. Такие процедуры </w:t>
      </w:r>
      <w:r>
        <w:rPr>
          <w:rFonts w:ascii="Times New Roman" w:hAnsi="Times New Roman" w:cs="Times New Roman"/>
          <w:sz w:val="28"/>
          <w:szCs w:val="28"/>
        </w:rPr>
        <w:t xml:space="preserve">могут дополнять друг друга, усиливая полезный эфф</w:t>
      </w:r>
      <w:r>
        <w:rPr>
          <w:rFonts w:ascii="Times New Roman" w:hAnsi="Times New Roman" w:cs="Times New Roman"/>
          <w:sz w:val="28"/>
          <w:szCs w:val="28"/>
        </w:rPr>
        <w:t xml:space="preserve">ект. Б</w:t>
      </w:r>
      <w:r>
        <w:rPr>
          <w:rFonts w:ascii="Times New Roman" w:hAnsi="Times New Roman" w:cs="Times New Roman"/>
          <w:sz w:val="28"/>
          <w:szCs w:val="28"/>
        </w:rPr>
        <w:t xml:space="preserve">удущий план лечения будет включать в себя использование какой-либо одной физиотерапии, а может быть, сочетание различных методов физиот</w:t>
      </w:r>
      <w:r>
        <w:rPr>
          <w:rFonts w:ascii="Times New Roman" w:hAnsi="Times New Roman" w:cs="Times New Roman"/>
          <w:sz w:val="28"/>
          <w:szCs w:val="28"/>
        </w:rPr>
        <w:t xml:space="preserve">ерапий. Такие сочетания в </w:t>
      </w:r>
      <w:r>
        <w:rPr>
          <w:rFonts w:ascii="Times New Roman" w:hAnsi="Times New Roman" w:cs="Times New Roman"/>
          <w:sz w:val="28"/>
          <w:szCs w:val="28"/>
        </w:rPr>
        <w:t xml:space="preserve">лечебном курсе будут способствовать более быстрому восст</w:t>
      </w:r>
      <w:r>
        <w:rPr>
          <w:rFonts w:ascii="Times New Roman" w:hAnsi="Times New Roman" w:cs="Times New Roman"/>
          <w:sz w:val="28"/>
          <w:szCs w:val="28"/>
        </w:rPr>
        <w:t xml:space="preserve">ановлению, выздоровлению </w:t>
      </w:r>
      <w:r>
        <w:rPr>
          <w:rFonts w:ascii="Times New Roman" w:hAnsi="Times New Roman" w:cs="Times New Roman"/>
          <w:sz w:val="28"/>
          <w:szCs w:val="28"/>
        </w:rPr>
        <w:t xml:space="preserve">организма.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 </w:t>
      </w:r>
      <w:r>
        <w:rPr>
          <w:rFonts w:ascii="Times New Roman" w:hAnsi="Times New Roman" w:cs="Times New Roman"/>
          <w:sz w:val="28"/>
          <w:szCs w:val="28"/>
        </w:rPr>
        <w:t xml:space="preserve">лечение физиотерапевтическими методами эффективно и очень полезно</w:t>
      </w:r>
      <w:r>
        <w:rPr>
          <w:rFonts w:ascii="Times New Roman" w:hAnsi="Times New Roman" w:cs="Times New Roman"/>
          <w:sz w:val="28"/>
          <w:szCs w:val="28"/>
        </w:rPr>
        <w:t xml:space="preserve">, потому что: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</w:t>
      </w:r>
      <w:r>
        <w:rPr>
          <w:rFonts w:ascii="Times New Roman" w:hAnsi="Times New Roman" w:cs="Times New Roman"/>
          <w:sz w:val="28"/>
          <w:szCs w:val="28"/>
        </w:rPr>
        <w:t xml:space="preserve">ролонгированный эффект от полученных процедур сохраняется до нескольких месяцев;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</w:t>
      </w:r>
      <w:r>
        <w:rPr>
          <w:rFonts w:ascii="Times New Roman" w:hAnsi="Times New Roman" w:cs="Times New Roman"/>
          <w:sz w:val="28"/>
          <w:szCs w:val="28"/>
        </w:rPr>
        <w:t xml:space="preserve">орошо сочетается с другими лечебными процедурами;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</w:t>
      </w:r>
      <w:r>
        <w:rPr>
          <w:rFonts w:ascii="Times New Roman" w:hAnsi="Times New Roman" w:cs="Times New Roman"/>
          <w:sz w:val="28"/>
          <w:szCs w:val="28"/>
        </w:rPr>
        <w:t xml:space="preserve">нижает дозы употребляемых медикаментозных препаратов.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противопоказания к физ</w:t>
      </w:r>
      <w:r>
        <w:rPr>
          <w:rFonts w:ascii="Times New Roman" w:hAnsi="Times New Roman" w:cs="Times New Roman"/>
          <w:sz w:val="28"/>
          <w:szCs w:val="28"/>
        </w:rPr>
        <w:t xml:space="preserve">иотерапевтическому лечению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</w:t>
      </w:r>
      <w:r>
        <w:rPr>
          <w:rFonts w:ascii="Times New Roman" w:hAnsi="Times New Roman" w:cs="Times New Roman"/>
          <w:sz w:val="28"/>
          <w:szCs w:val="28"/>
        </w:rPr>
        <w:t xml:space="preserve">яжелое состояние пациента;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</w:t>
      </w:r>
      <w:r>
        <w:rPr>
          <w:rFonts w:ascii="Times New Roman" w:hAnsi="Times New Roman" w:cs="Times New Roman"/>
          <w:sz w:val="28"/>
          <w:szCs w:val="28"/>
        </w:rPr>
        <w:t xml:space="preserve">ихорадка;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</w:t>
      </w:r>
      <w:r>
        <w:rPr>
          <w:rFonts w:ascii="Times New Roman" w:hAnsi="Times New Roman" w:cs="Times New Roman"/>
          <w:sz w:val="28"/>
          <w:szCs w:val="28"/>
        </w:rPr>
        <w:t xml:space="preserve">ильная интоксикация;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</w:t>
      </w:r>
      <w:r>
        <w:rPr>
          <w:rFonts w:ascii="Times New Roman" w:hAnsi="Times New Roman" w:cs="Times New Roman"/>
          <w:sz w:val="28"/>
          <w:szCs w:val="28"/>
        </w:rPr>
        <w:t xml:space="preserve">аболевания крови;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</w:t>
      </w:r>
      <w:r>
        <w:rPr>
          <w:rFonts w:ascii="Times New Roman" w:hAnsi="Times New Roman" w:cs="Times New Roman"/>
          <w:sz w:val="28"/>
          <w:szCs w:val="28"/>
        </w:rPr>
        <w:t xml:space="preserve">остояния дезадаптации организма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</w:t>
      </w:r>
      <w:r>
        <w:rPr>
          <w:rFonts w:ascii="Times New Roman" w:hAnsi="Times New Roman" w:cs="Times New Roman"/>
          <w:sz w:val="28"/>
          <w:szCs w:val="28"/>
        </w:rPr>
        <w:t xml:space="preserve">стрые психозы;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</w:t>
      </w:r>
      <w:r>
        <w:rPr>
          <w:rFonts w:ascii="Times New Roman" w:hAnsi="Times New Roman" w:cs="Times New Roman"/>
          <w:sz w:val="28"/>
          <w:szCs w:val="28"/>
        </w:rPr>
        <w:t xml:space="preserve">нкология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]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Эффективность физиотерапевтического воздействия в комплексном лечении пациентов при межреберной невралгии.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Физиотерап</w:t>
      </w:r>
      <w:r>
        <w:rPr>
          <w:rFonts w:ascii="Times New Roman" w:hAnsi="Times New Roman" w:cs="Times New Roman"/>
          <w:sz w:val="28"/>
          <w:szCs w:val="28"/>
        </w:rPr>
        <w:t xml:space="preserve">ия отлично работает в комплексн</w:t>
      </w:r>
      <w:r>
        <w:rPr>
          <w:rFonts w:ascii="Times New Roman" w:hAnsi="Times New Roman" w:cs="Times New Roman"/>
          <w:sz w:val="28"/>
          <w:szCs w:val="28"/>
        </w:rPr>
        <w:t xml:space="preserve">ом лечении многих заболеваний, в том числе и межреберной невралгии. Стоит обратить внимание на слово «комплексном», поскольку именно оно является залогом успешного выздоровления пациента. Можно назначать огромное количество препаратов, но без подкрепления </w:t>
      </w:r>
      <w:r>
        <w:rPr>
          <w:rFonts w:ascii="Times New Roman" w:hAnsi="Times New Roman" w:cs="Times New Roman"/>
          <w:sz w:val="28"/>
          <w:szCs w:val="28"/>
        </w:rPr>
        <w:t xml:space="preserve">физиовоздействием</w:t>
      </w:r>
      <w:r>
        <w:rPr>
          <w:rFonts w:ascii="Times New Roman" w:hAnsi="Times New Roman" w:cs="Times New Roman"/>
          <w:sz w:val="28"/>
          <w:szCs w:val="28"/>
        </w:rPr>
        <w:t xml:space="preserve"> это не даст должного результата.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на основе статистических данных возможности только медикаментозного лечения, только физиотерапевтического и комплексного лечения в следующей таблице. Анализ проведен по ограниченному количеству пациентов, а именно 50 человек.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Сравнение эффективности различных методов лечения межреберной невралгии.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tbl>
      <w:tblPr>
        <w:tblStyle w:val="683"/>
        <w:tblW w:w="0" w:type="auto"/>
        <w:tblLook w:val="04A0" w:firstRow="1" w:lastRow="0" w:firstColumn="1" w:lastColumn="0" w:noHBand="0" w:noVBand="1"/>
      </w:tblPr>
      <w:tblGrid>
        <w:gridCol w:w="3170"/>
        <w:gridCol w:w="3170"/>
        <w:gridCol w:w="3171"/>
      </w:tblGrid>
      <w:tr>
        <w:trPr>
          <w:trHeight w:val="406"/>
        </w:trPr>
        <w:tc>
          <w:tcPr>
            <w:gridSpan w:val="3"/>
            <w:tcW w:w="9511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708"/>
        </w:trPr>
        <w:tc>
          <w:tcPr>
            <w:tcW w:w="3170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медикаментозное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(было предоставлено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физиотерапия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(было предоставлено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1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(было предоставлено 74% пациентов)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6791"/>
        </w:trPr>
        <w:tc>
          <w:tcPr>
            <w:tcW w:w="3170" w:type="dxa"/>
            <w:textDirection w:val="lrTb"/>
            <w:noWrap w:val="false"/>
          </w:tcPr>
          <w:p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такому лечению можно быстро избавить пациента от боли, улучшить его  самочувствие, но пролонгированного эффекта ждать не стоит, поскольку медикаментозная терапия только временно снимает боль.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физиотерапии сложно добиться полного излечения, она имеет видимый эффект только на первых этапах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однако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физиотерапию как подспорье в борь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 с самыми различными недугами, в том числе и с межреберной невралгией.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практика показывает, что физиотерапевтические процедуры могут использоваться в качестве профилактики болезней, поскольку помогают укрепить иммунитет и активизируют важные биохимические процессы, происходящие в организме.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1" w:type="dxa"/>
            <w:textDirection w:val="lrTb"/>
            <w:noWrap w:val="false"/>
          </w:tcPr>
          <w:p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Комплексное лечение включает в себя лекарственную терапию и нелекарственные методы лечения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(физиотерапия).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Именно такое сочетание методов дает быструю и стойкую ремиссию. В дальнейшем у пациентов есть возможность жить без лекарств или с минимальным их количеством.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3. АНАЛИЗ ЭФФЕКТИВНОСТИ ФИЗИОТЕРАПЕВТИЧЕСКОГО ВОЗДЕЙСТВИЯ В КОМПЛЕКСНОМ ЛЕЧЕНИИ ПАЦИЕНТОВ ПРИ МЕЖРЕБЕРНОЙ НЕВРАЛГИИ.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Материалы и методы исследования.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контексте изучаемого предмета было проведено практическое исследование по анализу заболеваемости межреберной невралгией, а также по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физиотерапевтического воздействия в комплексном лечении пациентов при межреберной невралгии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предполагалось решить спектр поставленных задач для достижения цели: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основные статистические показатели заболеваемости межреберной невралгией на территории г.Кургана за 2020-2022 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Выявить э</w:t>
      </w:r>
      <w:r>
        <w:rPr>
          <w:rFonts w:ascii="Times New Roman" w:hAnsi="Times New Roman" w:cs="Times New Roman"/>
          <w:sz w:val="28"/>
          <w:szCs w:val="28"/>
        </w:rPr>
        <w:t xml:space="preserve">ффективность физиотерапевтического воздействия в комплексном лечении пациентов при межреберной невралгии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Проанализировать результаты практического исследования.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был проведен анализ заболеваемости межреберной невралгией на территории Курганской области в период с 2020 года по 2022 год. А также изучены возрастные особенности пациентов с данным диагнозом.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Анализ статистических показателей заболеваемости межреберной невралгией.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нами были изучены возрастные показатели заболеваемости межреберной невралгией в период 2020-2022 гг. (табл. 3).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– Статистические показатели заболеваемости межреберной невралгией среди пациентов 2020-2022 гг. (количество случаев)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8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>
        <w:trPr/>
        <w:tc>
          <w:tcPr>
            <w:tcW w:w="2392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15-17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1869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 трудоспособного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1894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4285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</w:tbl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установлено, что в 2020 году пациентов </w:t>
      </w:r>
      <w:r>
        <w:rPr>
          <w:rFonts w:ascii="Times New Roman" w:hAnsi="Times New Roman" w:cs="Times New Roman"/>
          <w:sz w:val="28"/>
          <w:szCs w:val="28"/>
        </w:rPr>
        <w:t xml:space="preserve">в возрасте 0-14 лет было 154 человека. В 2021 году отмечалось повышение заболеваемости в этой возрастной группе до 176 человек. И, наконец, в 2022 году показатель заболеваемости межреберной невралгией в возрасте от 0 до 14 лет составил 182 человека.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заболеваемости межреберной невралгией в возрастной группе 15-17 лет были следующими: в 2020 году – 342 человека, в 2021 году – 346 человек, в 2022 году – 357 человек.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Заболеваемость межреберной невралгией у взрослых пациентов (старше 18) в 2020 году составила 1712 случаев. В 2021 году – 1869 случаев. В 2022 году у пациентов старше 18 лет заболеваемость межреберной невралгией была выявлена в 1837 случаях.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</w:t>
      </w:r>
      <w:r>
        <w:rPr>
          <w:rFonts w:ascii="Times New Roman" w:hAnsi="Times New Roman" w:cs="Times New Roman"/>
          <w:sz w:val="28"/>
          <w:szCs w:val="28"/>
        </w:rPr>
        <w:t xml:space="preserve">труктуре заболеваемости межреберной невралгией среди пациентов старше трудоспособного возраста (с 55 лет у женщин и с 60 лет у мужчин)  данное заболевание  в 2020 году встретилось в 1931 случае, в 2021 году – 1894 случая, в 2022 году – 1902 случая.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наибольшее количество зарегистрированных пациентов с межреберной невралгией составило в 2021 году – 4285 человек. Наименьшие показатели данной патологии отмечаются в 2020 году – 4139 человек.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ходе проведенного исследования межреберной невралгией чаще болели пациенты в 2021 году, а также пациенты старше трудоспособного возраста (с 55 лет у женщин и с 60 лет у мужчин) в период с 2020 года по 2022 год.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Изучены основные аспекты</w:t>
      </w:r>
      <w:r>
        <w:rPr>
          <w:rFonts w:ascii="Times New Roman" w:hAnsi="Times New Roman" w:cs="Times New Roman"/>
          <w:sz w:val="28"/>
          <w:szCs w:val="28"/>
        </w:rPr>
        <w:t xml:space="preserve"> течения межреберной невралгии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в этиологии межреберной невралгии основное значение имеют: образ жизни человека, его привычки и различные внешние факторы.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Также доказана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физиотерапевтического воздействия в комплексном лечении пациентов при межреберной невралгии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статистическом анализе заболеваемости межреберной невралгии на территории Курганской области были изучены возрастные особенности больных. Наибольшее количество зарегистрированных пациентов с межреберной невралгией было в 2021 году. Наименьшие </w:t>
      </w:r>
      <w:r>
        <w:rPr>
          <w:rFonts w:ascii="Times New Roman" w:hAnsi="Times New Roman" w:cs="Times New Roman"/>
          <w:sz w:val="28"/>
          <w:szCs w:val="28"/>
        </w:rPr>
        <w:t xml:space="preserve">показатели данной патологии отмечаются в 2020 году. Следует отметить, что в ходе проведенного исследования межреберной невралгией чаще болели пациенты старше трудоспособного возраста (с 55 лет у женщин и с 60 лет у мужчин) в период с 2020 года по 2022 год.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ИСТОЧНИКОВ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Приказ Минздрава России от 01.08.2017 N 484н «Об утверждении порядка формирования перечня видов высокотехнологичной медицинской помощи»  (Зарегистрировано в Минюсте России 16.11.2017 N 48920).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21.11.2017</w:t>
      </w:r>
      <w:r>
        <w:rPr>
          <w:rFonts w:ascii="Times New Roman" w:hAnsi="Times New Roman" w:cs="Times New Roman"/>
          <w:sz w:val="28"/>
          <w:szCs w:val="28"/>
        </w:rPr>
        <w:t xml:space="preserve"> N 323-Ф3 «Об основах охраны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граждан в Российской Федерации».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</w:t>
      </w:r>
      <w:r>
        <w:rPr>
          <w:rFonts w:ascii="Times New Roman" w:hAnsi="Times New Roman" w:cs="Times New Roman"/>
          <w:sz w:val="28"/>
          <w:szCs w:val="28"/>
        </w:rPr>
        <w:t xml:space="preserve"> Гусев Е.И.Неврология и нейрохи</w:t>
      </w:r>
      <w:r>
        <w:rPr>
          <w:rFonts w:ascii="Times New Roman" w:hAnsi="Times New Roman" w:cs="Times New Roman"/>
          <w:sz w:val="28"/>
          <w:szCs w:val="28"/>
        </w:rPr>
        <w:t xml:space="preserve">рурги</w:t>
      </w:r>
      <w:r>
        <w:rPr>
          <w:rFonts w:ascii="Times New Roman" w:hAnsi="Times New Roman" w:cs="Times New Roman"/>
          <w:sz w:val="28"/>
          <w:szCs w:val="28"/>
        </w:rPr>
        <w:t xml:space="preserve">я: Учебник. - М.: Медицина, 2018</w:t>
      </w:r>
      <w:r>
        <w:rPr>
          <w:rFonts w:ascii="Times New Roman" w:hAnsi="Times New Roman" w:cs="Times New Roman"/>
          <w:sz w:val="28"/>
          <w:szCs w:val="28"/>
        </w:rPr>
        <w:t xml:space="preserve">.-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656c.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Матве</w:t>
      </w:r>
      <w:r>
        <w:rPr>
          <w:rFonts w:ascii="Times New Roman" w:hAnsi="Times New Roman" w:cs="Times New Roman"/>
          <w:sz w:val="28"/>
          <w:szCs w:val="28"/>
        </w:rPr>
        <w:t xml:space="preserve">ев С.В. Неврология Учебник- М.: Медицина, 2018</w:t>
      </w:r>
      <w:r>
        <w:rPr>
          <w:rFonts w:ascii="Times New Roman" w:hAnsi="Times New Roman" w:cs="Times New Roman"/>
          <w:sz w:val="28"/>
          <w:szCs w:val="28"/>
        </w:rPr>
        <w:t xml:space="preserve">.- 850с.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Левин О.</w:t>
      </w:r>
      <w:r>
        <w:rPr>
          <w:rFonts w:ascii="Times New Roman" w:hAnsi="Times New Roman" w:cs="Times New Roman"/>
          <w:sz w:val="28"/>
          <w:szCs w:val="28"/>
        </w:rPr>
        <w:t xml:space="preserve">С.. Полинейропатии Учебник- М.: Медицина, 2017</w:t>
      </w:r>
      <w:r>
        <w:rPr>
          <w:rFonts w:ascii="Times New Roman" w:hAnsi="Times New Roman" w:cs="Times New Roman"/>
          <w:sz w:val="28"/>
          <w:szCs w:val="28"/>
        </w:rPr>
        <w:t xml:space="preserve">.- 584с.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работы медицинского персонала: способы решения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//</w:t>
      </w:r>
      <w:r>
        <w:rPr>
          <w:rFonts w:ascii="Times New Roman" w:hAnsi="Times New Roman" w:cs="Times New Roman"/>
          <w:sz w:val="28"/>
          <w:szCs w:val="28"/>
        </w:rPr>
        <w:t xml:space="preserve">Главная медицинская сестра, 2019</w:t>
      </w:r>
      <w:r>
        <w:rPr>
          <w:rFonts w:ascii="Times New Roman" w:hAnsi="Times New Roman" w:cs="Times New Roman"/>
          <w:sz w:val="28"/>
          <w:szCs w:val="28"/>
        </w:rPr>
        <w:t xml:space="preserve">. - Ne8. - C.54-61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Мойсеева В. С. Внутренние болезн</w:t>
      </w:r>
      <w:r>
        <w:rPr>
          <w:rFonts w:ascii="Times New Roman" w:hAnsi="Times New Roman" w:cs="Times New Roman"/>
          <w:sz w:val="28"/>
          <w:szCs w:val="28"/>
        </w:rPr>
        <w:t xml:space="preserve">и: учебник: в 2 т./ Под ред. В. </w:t>
      </w:r>
      <w:r>
        <w:rPr>
          <w:rFonts w:ascii="Times New Roman" w:hAnsi="Times New Roman" w:cs="Times New Roman"/>
          <w:sz w:val="28"/>
          <w:szCs w:val="28"/>
        </w:rPr>
        <w:t xml:space="preserve">С. Моисеева, А. И. Мартынова, Н. А. Мухина. - 3-е изд</w:t>
      </w:r>
      <w:r>
        <w:rPr>
          <w:rFonts w:ascii="Times New Roman" w:hAnsi="Times New Roman" w:cs="Times New Roman"/>
          <w:sz w:val="28"/>
          <w:szCs w:val="28"/>
        </w:rPr>
        <w:t xml:space="preserve">., исправлено и </w:t>
      </w:r>
      <w:r>
        <w:rPr>
          <w:rFonts w:ascii="Times New Roman" w:hAnsi="Times New Roman" w:cs="Times New Roman"/>
          <w:sz w:val="28"/>
          <w:szCs w:val="28"/>
        </w:rPr>
        <w:t xml:space="preserve">допо</w:t>
      </w:r>
      <w:r>
        <w:rPr>
          <w:rFonts w:ascii="Times New Roman" w:hAnsi="Times New Roman" w:cs="Times New Roman"/>
          <w:sz w:val="28"/>
          <w:szCs w:val="28"/>
        </w:rPr>
        <w:t xml:space="preserve">лнено - М.: ГООТАР - Медиа, 2017</w:t>
      </w:r>
      <w:r>
        <w:rPr>
          <w:rFonts w:ascii="Times New Roman" w:hAnsi="Times New Roman" w:cs="Times New Roman"/>
          <w:sz w:val="28"/>
          <w:szCs w:val="28"/>
        </w:rPr>
        <w:t xml:space="preserve">. - Т. 1. - 960 с.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Пальчун</w:t>
      </w:r>
      <w:r>
        <w:rPr>
          <w:rFonts w:ascii="Times New Roman" w:hAnsi="Times New Roman" w:cs="Times New Roman"/>
          <w:sz w:val="28"/>
          <w:szCs w:val="28"/>
        </w:rPr>
        <w:t xml:space="preserve"> В.Т. Межреберная невралгия</w:t>
      </w:r>
      <w:r>
        <w:rPr>
          <w:rFonts w:ascii="Times New Roman" w:hAnsi="Times New Roman" w:cs="Times New Roman"/>
          <w:sz w:val="28"/>
          <w:szCs w:val="28"/>
        </w:rPr>
        <w:t xml:space="preserve">, со</w:t>
      </w:r>
      <w:r>
        <w:rPr>
          <w:rFonts w:ascii="Times New Roman" w:hAnsi="Times New Roman" w:cs="Times New Roman"/>
          <w:sz w:val="28"/>
          <w:szCs w:val="28"/>
        </w:rPr>
        <w:t xml:space="preserve">путствующие и сопряженные </w:t>
      </w:r>
      <w:r>
        <w:rPr>
          <w:rFonts w:ascii="Times New Roman" w:hAnsi="Times New Roman" w:cs="Times New Roman"/>
          <w:sz w:val="28"/>
          <w:szCs w:val="28"/>
        </w:rPr>
        <w:t xml:space="preserve">заболевания / </w:t>
      </w:r>
      <w:r>
        <w:rPr>
          <w:rFonts w:ascii="Times New Roman" w:hAnsi="Times New Roman" w:cs="Times New Roman"/>
          <w:sz w:val="28"/>
          <w:szCs w:val="28"/>
        </w:rPr>
        <w:t xml:space="preserve">В.Т.Пальчун</w:t>
      </w:r>
      <w:r>
        <w:rPr>
          <w:rFonts w:ascii="Times New Roman" w:hAnsi="Times New Roman" w:cs="Times New Roman"/>
          <w:sz w:val="28"/>
          <w:szCs w:val="28"/>
        </w:rPr>
        <w:t xml:space="preserve"> //Тер. Архив. - 2019</w:t>
      </w:r>
      <w:r>
        <w:rPr>
          <w:rFonts w:ascii="Times New Roman" w:hAnsi="Times New Roman" w:cs="Times New Roman"/>
          <w:sz w:val="28"/>
          <w:szCs w:val="28"/>
        </w:rPr>
        <w:t xml:space="preserve">. - Ло10. - C.56-60.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Триумфов А.В. Топическая диагностика заболевания нервной систем</w:t>
      </w:r>
      <w:r>
        <w:rPr>
          <w:rFonts w:ascii="Times New Roman" w:hAnsi="Times New Roman" w:cs="Times New Roman"/>
          <w:sz w:val="28"/>
          <w:szCs w:val="28"/>
        </w:rPr>
        <w:t xml:space="preserve">ы. M. «</w:t>
      </w:r>
      <w:r>
        <w:rPr>
          <w:rFonts w:ascii="Times New Roman" w:hAnsi="Times New Roman" w:cs="Times New Roman"/>
          <w:sz w:val="28"/>
          <w:szCs w:val="28"/>
        </w:rPr>
        <w:t xml:space="preserve">МЕДпресс</w:t>
      </w:r>
      <w:r>
        <w:rPr>
          <w:rFonts w:ascii="Times New Roman" w:hAnsi="Times New Roman" w:cs="Times New Roman"/>
          <w:sz w:val="28"/>
          <w:szCs w:val="28"/>
        </w:rPr>
        <w:t xml:space="preserve">», 2017 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Яхно Н.Н. Частная неврология-Уче</w:t>
      </w:r>
      <w:r>
        <w:rPr>
          <w:rFonts w:ascii="Times New Roman" w:hAnsi="Times New Roman" w:cs="Times New Roman"/>
          <w:sz w:val="28"/>
          <w:szCs w:val="28"/>
        </w:rPr>
        <w:t xml:space="preserve">бное пособие- М.: Медицина, 2020.-</w:t>
      </w:r>
      <w:r>
        <w:rPr>
          <w:rFonts w:ascii="Times New Roman" w:hAnsi="Times New Roman" w:cs="Times New Roman"/>
          <w:sz w:val="28"/>
          <w:szCs w:val="28"/>
        </w:rPr>
        <w:t xml:space="preserve">430с.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лицкий Л.А., </w:t>
      </w:r>
      <w:r>
        <w:rPr>
          <w:rFonts w:ascii="Times New Roman" w:hAnsi="Times New Roman" w:cs="Times New Roman"/>
          <w:sz w:val="28"/>
          <w:szCs w:val="28"/>
        </w:rPr>
        <w:t xml:space="preserve">Чухловина</w:t>
      </w:r>
      <w:r>
        <w:rPr>
          <w:rFonts w:ascii="Times New Roman" w:hAnsi="Times New Roman" w:cs="Times New Roman"/>
          <w:sz w:val="28"/>
          <w:szCs w:val="28"/>
        </w:rPr>
        <w:t xml:space="preserve"> М.Л.. Диагностика нервных болезней, Учебник,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-503 с.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Зигуненко, Станис</w:t>
      </w:r>
      <w:r>
        <w:rPr>
          <w:rFonts w:ascii="Times New Roman" w:hAnsi="Times New Roman" w:cs="Times New Roman"/>
          <w:sz w:val="28"/>
          <w:szCs w:val="28"/>
        </w:rPr>
        <w:t xml:space="preserve">лав 100 великих тайн медицины / </w:t>
      </w:r>
      <w:r>
        <w:rPr>
          <w:rFonts w:ascii="Times New Roman" w:hAnsi="Times New Roman" w:cs="Times New Roman"/>
          <w:sz w:val="28"/>
          <w:szCs w:val="28"/>
        </w:rPr>
        <w:t xml:space="preserve">Стани</w:t>
      </w:r>
      <w:r>
        <w:rPr>
          <w:rFonts w:ascii="Times New Roman" w:hAnsi="Times New Roman" w:cs="Times New Roman"/>
          <w:sz w:val="28"/>
          <w:szCs w:val="28"/>
        </w:rPr>
        <w:t xml:space="preserve">слав Зигуненко. - M.: Вече, 2019</w:t>
      </w:r>
      <w:r>
        <w:rPr>
          <w:rFonts w:ascii="Times New Roman" w:hAnsi="Times New Roman" w:cs="Times New Roman"/>
          <w:sz w:val="28"/>
          <w:szCs w:val="28"/>
        </w:rPr>
        <w:t xml:space="preserve">. - 368 с.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Винокуров М.М. Та</w:t>
      </w:r>
      <w:r>
        <w:rPr>
          <w:rFonts w:ascii="Times New Roman" w:hAnsi="Times New Roman" w:cs="Times New Roman"/>
          <w:sz w:val="28"/>
          <w:szCs w:val="28"/>
        </w:rPr>
        <w:t xml:space="preserve">ктика лечения больных с межреберной невралгией</w:t>
      </w:r>
      <w:r>
        <w:rPr>
          <w:rFonts w:ascii="Times New Roman" w:hAnsi="Times New Roman" w:cs="Times New Roman"/>
          <w:sz w:val="28"/>
          <w:szCs w:val="28"/>
        </w:rPr>
        <w:t xml:space="preserve"> / М.М</w:t>
      </w:r>
      <w:r>
        <w:rPr>
          <w:rFonts w:ascii="Times New Roman" w:hAnsi="Times New Roman" w:cs="Times New Roman"/>
          <w:sz w:val="28"/>
          <w:szCs w:val="28"/>
        </w:rPr>
        <w:t xml:space="preserve">. Винокуров, М.А. Капитонова //Хирургия. - 2020</w:t>
      </w:r>
      <w:r>
        <w:rPr>
          <w:rFonts w:ascii="Times New Roman" w:hAnsi="Times New Roman" w:cs="Times New Roman"/>
          <w:sz w:val="28"/>
          <w:szCs w:val="28"/>
        </w:rPr>
        <w:t xml:space="preserve">. - No 2 . - С. 33-36.</w:t>
      </w:r>
      <w:r>
        <w:rPr>
          <w:rFonts w:ascii="Times New Roman" w:hAnsi="Times New Roman" w:cs="Times New Roman"/>
          <w:sz w:val="28"/>
          <w:szCs w:val="28"/>
        </w:rPr>
      </w:r>
    </w:p>
    <w:p>
      <w:r/>
      <w:r/>
    </w:p>
    <w:sectPr>
      <w:foot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794219"/>
      <w:docPartObj>
        <w:docPartGallery w:val="Page Numbers (Bottom of Page)"/>
        <w:docPartUnique w:val="true"/>
      </w:docPartObj>
      <w:rPr/>
    </w:sdtPr>
    <w:sdtContent>
      <w:p>
        <w:pPr>
          <w:pStyle w:val="68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16</w:t>
        </w:r>
        <w:r>
          <w:fldChar w:fldCharType="end"/>
        </w:r>
        <w:r/>
      </w:p>
    </w:sdtContent>
  </w:sdt>
  <w:p>
    <w:pPr>
      <w:pStyle w:val="6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7"/>
    <w:next w:val="67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7"/>
    <w:next w:val="67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7"/>
    <w:next w:val="67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7"/>
    <w:next w:val="67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7"/>
    <w:next w:val="67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7"/>
    <w:next w:val="67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7"/>
    <w:next w:val="67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7"/>
    <w:next w:val="67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7"/>
    <w:next w:val="67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7"/>
    <w:next w:val="67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8"/>
    <w:link w:val="34"/>
    <w:uiPriority w:val="10"/>
    <w:rPr>
      <w:sz w:val="48"/>
      <w:szCs w:val="48"/>
    </w:rPr>
  </w:style>
  <w:style w:type="paragraph" w:styleId="36">
    <w:name w:val="Subtitle"/>
    <w:basedOn w:val="677"/>
    <w:next w:val="67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8"/>
    <w:link w:val="36"/>
    <w:uiPriority w:val="11"/>
    <w:rPr>
      <w:sz w:val="24"/>
      <w:szCs w:val="24"/>
    </w:rPr>
  </w:style>
  <w:style w:type="paragraph" w:styleId="38">
    <w:name w:val="Quote"/>
    <w:basedOn w:val="677"/>
    <w:next w:val="67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7"/>
    <w:next w:val="67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7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78"/>
    <w:link w:val="42"/>
    <w:uiPriority w:val="99"/>
  </w:style>
  <w:style w:type="character" w:styleId="45">
    <w:name w:val="Footer Char"/>
    <w:basedOn w:val="678"/>
    <w:link w:val="681"/>
    <w:uiPriority w:val="99"/>
  </w:style>
  <w:style w:type="paragraph" w:styleId="46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1"/>
    <w:uiPriority w:val="99"/>
  </w:style>
  <w:style w:type="table" w:styleId="49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8"/>
    <w:uiPriority w:val="99"/>
    <w:unhideWhenUsed/>
    <w:rPr>
      <w:vertAlign w:val="superscript"/>
    </w:rPr>
  </w:style>
  <w:style w:type="paragraph" w:styleId="178">
    <w:name w:val="endnote text"/>
    <w:basedOn w:val="67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8"/>
    <w:uiPriority w:val="99"/>
    <w:semiHidden/>
    <w:unhideWhenUsed/>
    <w:rPr>
      <w:vertAlign w:val="superscript"/>
    </w:rPr>
  </w:style>
  <w:style w:type="paragraph" w:styleId="181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qFormat/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>
    <w:name w:val="Footer"/>
    <w:basedOn w:val="677"/>
    <w:link w:val="68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2" w:customStyle="1">
    <w:name w:val="Нижний колонтитул Знак"/>
    <w:basedOn w:val="678"/>
    <w:link w:val="681"/>
    <w:uiPriority w:val="99"/>
  </w:style>
  <w:style w:type="table" w:styleId="683">
    <w:name w:val="Table Grid"/>
    <w:basedOn w:val="679"/>
    <w:uiPriority w:val="59"/>
    <w:pPr>
      <w:ind w:left="567" w:right="1134"/>
      <w:jc w:val="both"/>
      <w:spacing w:after="0" w:line="240" w:lineRule="auto"/>
    </w:pPr>
    <w:rPr>
      <w:rFonts w:eastAsiaTheme="minorHAns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4">
    <w:name w:val="Hyperlink"/>
    <w:basedOn w:val="678"/>
    <w:uiPriority w:val="99"/>
    <w:semiHidden/>
    <w:unhideWhenUsed/>
    <w:rPr>
      <w:color w:val="0000ff"/>
      <w:u w:val="single"/>
    </w:rPr>
  </w:style>
  <w:style w:type="paragraph" w:styleId="685">
    <w:name w:val="Balloon Text"/>
    <w:basedOn w:val="677"/>
    <w:link w:val="68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86" w:customStyle="1">
    <w:name w:val="Текст выноски Знак"/>
    <w:basedOn w:val="678"/>
    <w:link w:val="68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hart" Target="charts/chart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 xml:space="preserve">Электрофорез </c:v>
                </c:pt>
                <c:pt idx="1">
                  <c:v>Магнитотерапия</c:v>
                </c:pt>
                <c:pt idx="2">
                  <c:v>УВЧ-терапия</c:v>
                </c:pt>
                <c:pt idx="3">
                  <c:v>Дарсонвализация</c:v>
                </c:pt>
                <c:pt idx="4">
                  <c:v>Флюктуоризация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79</c:v>
                </c:pt>
                <c:pt idx="2">
                  <c:v>80</c:v>
                </c:pt>
                <c:pt idx="3">
                  <c:v>78</c:v>
                </c:pt>
                <c:pt idx="4">
                  <c:v>77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150"/>
        <c:axId val="14213120"/>
        <c:axId val="50866048"/>
      </c:barChart>
      <c:catAx>
        <c:axId val="1421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866048"/>
        <c:crosses val="autoZero"/>
        <c:auto val="1"/>
        <c:lblAlgn val="ctr"/>
        <c:lblOffset val="100"/>
        <c:noMultiLvlLbl val="0"/>
      </c:catAx>
      <c:valAx>
        <c:axId val="50866048"/>
        <c:scaling>
          <c:orientation val="minMax"/>
        </c:scaling>
        <c:delete val="0"/>
        <c:axPos val="l"/>
        <c:majorGridlines>
          <c:spPr bwMode="auto"/>
        </c:majorGridlines>
        <c:numFmt formatCode="General" sourceLinked="1"/>
        <c:majorTickMark val="out"/>
        <c:minorTickMark val="none"/>
        <c:tickLblPos val="nextTo"/>
        <c:crossAx val="14213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Максим Камышлейцев</cp:lastModifiedBy>
  <cp:revision>7</cp:revision>
  <dcterms:created xsi:type="dcterms:W3CDTF">2023-10-14T04:55:00Z</dcterms:created>
  <dcterms:modified xsi:type="dcterms:W3CDTF">2023-10-21T12:07:00Z</dcterms:modified>
</cp:coreProperties>
</file>