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МИНИСТЕРСТВО НАУКИ И ВЫСШЕГО ОБРАЗОВАНИЯ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РОССИЙСКОЙ ФЕДЕРАЦИИ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«РОССИЙСКИЙ ЭКОНОМИЧЕСКИЙ УНИВЕРСИТЕТ ИМЕНИ 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ПЛЕХАНОВА»</w:t>
      </w:r>
    </w:p>
    <w:p>
      <w:pPr>
        <w:pStyle w:val="Normal.0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  <w:br w:type="textWrapping"/>
        <w:br w:type="textWrapping"/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КАФЕДРА ИНОСТРАННЫХ ЯЗЫКОВ №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ДОПОЛНИТЕЛЬНАЯ ОБЩЕРАЗВИВАЮЩАЯ ПРОГРАММА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«ДЕЛОВАЯ КОММУНИКАЦИЯ НА АНГЛИЙСКОМ ЯЗЫКЕ</w:t>
      </w:r>
    </w:p>
    <w:p>
      <w:pPr>
        <w:pStyle w:val="Normal.0"/>
        <w:spacing w:after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                                                   МОСКВА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2023</w:t>
      </w:r>
    </w:p>
    <w:p>
      <w:pPr>
        <w:pStyle w:val="Normal.0"/>
        <w:spacing w:after="24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ОБЩАЯ ХАРАКТЕРИСТИКА ПРОГРАММЫ</w:t>
      </w:r>
    </w:p>
    <w:p>
      <w:pPr>
        <w:pStyle w:val="Body Text Indent"/>
        <w:tabs>
          <w:tab w:val="left" w:pos="567"/>
        </w:tabs>
      </w:pPr>
    </w:p>
    <w:p>
      <w:pPr>
        <w:pStyle w:val="Body Text Indent"/>
        <w:tabs>
          <w:tab w:val="left" w:pos="567"/>
        </w:tabs>
        <w:rPr>
          <w:b w:val="1"/>
          <w:bCs w:val="1"/>
        </w:rPr>
      </w:pPr>
      <w:r>
        <w:rPr>
          <w:b w:val="1"/>
          <w:bCs w:val="1"/>
          <w:rtl w:val="0"/>
        </w:rPr>
        <w:t>1.1.</w:t>
        <w:tab/>
      </w:r>
      <w:r>
        <w:rPr>
          <w:b w:val="1"/>
          <w:bCs w:val="1"/>
          <w:rtl w:val="0"/>
          <w:lang w:val="ru-RU"/>
        </w:rPr>
        <w:t>Цель реализации программы</w:t>
      </w:r>
    </w:p>
    <w:p>
      <w:pPr>
        <w:pStyle w:val="Normal.0"/>
        <w:spacing w:line="312" w:lineRule="auto"/>
        <w:ind w:firstLine="284"/>
        <w:jc w:val="both"/>
      </w:pPr>
      <w:r>
        <w:rPr>
          <w:rtl w:val="0"/>
          <w:lang w:val="ru-RU"/>
        </w:rPr>
        <w:t>Целью реализации дополнительной профессиональной программы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является повышение готовности специалистов к решению профессиональных задач на английском языке на основе развития профессиональной компетентности в сфере деловых коммуникаций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подготовки специалистов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владеющих знаниями о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"http://psihdocs.ru/referatov-po-discipline-delovie-kommunikacii.html"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сущности и формах деловой коммуникации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и умеющих их использовать в практической деятельности на английском языке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0"/>
          <w:rtl w:val="0"/>
          <w:lang w:val="ru-RU"/>
        </w:rPr>
        <w:t>В программе рассматриваются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основы межкультурной коммуникации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бизнес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тренды в общении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стратегические направления выстраивания взаимоотношений с партнерами и потребителями в иноязычной деловой среде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Планируемые результаты обучения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формирование у слушателей системы знаний теории деловых коммуникаций на английском языке уровня </w:t>
      </w:r>
      <w:r>
        <w:rPr>
          <w:rStyle w:val="Нет"/>
          <w:rtl w:val="0"/>
          <w:lang w:val="en-US"/>
        </w:rPr>
        <w:t>pre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en-US"/>
        </w:rPr>
        <w:t>intermediate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развитие навыков эффективных коммуникаций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деловая беседа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публичные выступления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переговоры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работа с документами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</w:pPr>
      <w:r>
        <w:rPr>
          <w:rStyle w:val="Hyperlink.0"/>
          <w:rtl w:val="0"/>
          <w:lang w:val="ru-RU"/>
        </w:rPr>
        <w:t>Слушатель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освоивший программу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должен обладать следующими профессиональными компетенциями</w:t>
      </w:r>
      <w:r>
        <w:rPr>
          <w:rStyle w:val="Нет"/>
          <w:vertAlign w:val="superscript"/>
        </w:rPr>
        <w:footnoteReference w:id="1"/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tabs>
          <w:tab w:val="left" w:pos="1418"/>
        </w:tabs>
        <w:spacing w:line="360" w:lineRule="auto"/>
        <w:ind w:left="720" w:firstLine="0"/>
        <w:jc w:val="both"/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ПК</w:t>
      </w:r>
      <w:r>
        <w:rPr>
          <w:rStyle w:val="Нет"/>
          <w:rtl w:val="0"/>
          <w:lang w:val="ru-RU"/>
        </w:rPr>
        <w:t>-6-</w:t>
      </w:r>
      <w:r>
        <w:rPr>
          <w:rStyle w:val="Нет"/>
          <w:rtl w:val="0"/>
          <w:lang w:val="ru-RU"/>
        </w:rPr>
        <w:t xml:space="preserve">способностью участвовать в осуществлении профессиональной деятельнсти на английском языке уровня </w:t>
      </w:r>
      <w:r>
        <w:rPr>
          <w:rStyle w:val="Нет"/>
          <w:rtl w:val="0"/>
          <w:lang w:val="en-US"/>
        </w:rPr>
        <w:t>pre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en-US"/>
        </w:rPr>
        <w:t>intermediate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ведения документации на английском языке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</w:pPr>
      <w:r>
        <w:rPr>
          <w:rStyle w:val="Hyperlink.0"/>
          <w:rtl w:val="0"/>
        </w:rPr>
        <w:t>В результате освоения программы слушатель должен</w:t>
      </w:r>
      <w:r>
        <w:rPr>
          <w:rStyle w:val="Hyperlink.0"/>
          <w:rtl w:val="0"/>
        </w:rPr>
        <w:t>: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>По окончании программы слушатели должны</w:t>
      </w:r>
      <w:r>
        <w:rPr>
          <w:rStyle w:val="Hyperlink.0"/>
          <w:rtl w:val="0"/>
          <w:lang w:val="ru-RU"/>
        </w:rPr>
        <w:t>:</w:t>
      </w:r>
      <w:r>
        <w:rPr>
          <w:rStyle w:val="Hyperlink.0"/>
          <w:rtl w:val="0"/>
          <w:lang w:val="ru-RU"/>
        </w:rPr>
        <w:t> 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>Знать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фонологические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грамматические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лексические и стилистические особенности изучаемого языка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речевые и поведенческие модели в различных деловых контекстах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культурные различия между народами страны изучаемого языка и своей страны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>Уметь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адекватно воспринимать и корректно использовать единицы речи в деловой коммуникации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адекватно использовать реалии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фоновые знания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ситуативно обусловленные формы общения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учитывать в общении речевые и поведенческие модели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принятые в соответствующей культуре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взаимодействовать с партнерами по общению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вступать в контакт и поддерживать его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владея необходимыми стратегиями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применять разные стратегии </w:t>
      </w: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как для понимания устных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письменных текстов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так и для поддержания успешного взаимодействия при устном</w:t>
      </w:r>
      <w:r>
        <w:rPr>
          <w:rStyle w:val="Hyperlink.0"/>
          <w:rtl w:val="0"/>
          <w:lang w:val="ru-RU"/>
        </w:rPr>
        <w:t>/</w:t>
      </w:r>
      <w:r>
        <w:rPr>
          <w:rStyle w:val="Hyperlink.0"/>
          <w:rtl w:val="0"/>
          <w:lang w:val="ru-RU"/>
        </w:rPr>
        <w:t>письменном деловом общении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понимать и порождать иноязычный дискурс с учетом культурно обусловленных различий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планировать цели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ход и результаты образовательной и исследовательской деятельности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использовать опыт изучения родного языка</w:t>
      </w:r>
      <w:r>
        <w:rPr>
          <w:rStyle w:val="Hyperlink.0"/>
          <w:rtl w:val="0"/>
          <w:lang w:val="ru-RU"/>
        </w:rPr>
        <w:t>;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осуществлять официальное общение в профессиональной среде в стране и за рубежом</w:t>
      </w:r>
    </w:p>
    <w:p>
      <w:pPr>
        <w:pStyle w:val="Normal.0"/>
        <w:jc w:val="both"/>
      </w:pPr>
      <w:r>
        <w:rPr>
          <w:rStyle w:val="Hyperlink.0"/>
          <w:rtl w:val="0"/>
          <w:lang w:val="ru-RU"/>
        </w:rPr>
        <w:t>Владеть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jc w:val="both"/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уровнем английского языка </w:t>
      </w:r>
      <w:r>
        <w:rPr>
          <w:rStyle w:val="Нет"/>
          <w:rtl w:val="0"/>
          <w:lang w:val="en-US"/>
        </w:rPr>
        <w:t>pre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en-US"/>
        </w:rPr>
        <w:t>intermediate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tabs>
          <w:tab w:val="left" w:pos="1276"/>
        </w:tabs>
        <w:spacing w:line="312" w:lineRule="auto"/>
        <w:ind w:firstLine="709"/>
        <w:jc w:val="both"/>
        <w:rPr>
          <w:rStyle w:val="Нет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Категория слушателей</w:t>
      </w:r>
    </w:p>
    <w:p>
      <w:pPr>
        <w:pStyle w:val="Normal.0"/>
        <w:spacing w:line="312" w:lineRule="auto"/>
        <w:ind w:left="360" w:firstLine="0"/>
        <w:jc w:val="both"/>
      </w:pPr>
      <w:r>
        <w:rPr>
          <w:rStyle w:val="Hyperlink.0"/>
          <w:rtl w:val="0"/>
          <w:lang w:val="ru-RU"/>
        </w:rPr>
        <w:t>Программа предназначена для сотрудников компаний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Трудоёмкость обучения</w:t>
      </w:r>
    </w:p>
    <w:p>
      <w:pPr>
        <w:pStyle w:val="List Paragraph"/>
        <w:tabs>
          <w:tab w:val="left" w:pos="7788"/>
        </w:tabs>
        <w:ind w:left="0" w:firstLine="709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Общая трудоёмкость обучения составляет </w:t>
      </w:r>
      <w:r>
        <w:rPr>
          <w:rStyle w:val="Нет"/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80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академических часов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7788"/>
        </w:tabs>
        <w:ind w:left="0" w:firstLine="709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 обучения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</w:pPr>
      <w:r>
        <w:rPr>
          <w:rStyle w:val="Hyperlink.0"/>
          <w:rtl w:val="0"/>
          <w:lang w:val="ru-RU"/>
        </w:rPr>
        <w:t>Очно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заочная с применением ДОТ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cap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программы</w:t>
      </w:r>
    </w:p>
    <w:p>
      <w:pPr>
        <w:pStyle w:val="List Paragraph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Style w:val="Нет"/>
          <w:rFonts w:ascii="Times New Roman" w:cs="Times New Roman" w:hAnsi="Times New Roman" w:eastAsia="Times New Roman"/>
          <w:cap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Учебный план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2" w:firstLine="0"/>
        <w:rPr>
          <w:rStyle w:val="Нет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6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9"/>
        <w:gridCol w:w="2018"/>
        <w:gridCol w:w="908"/>
        <w:gridCol w:w="695"/>
        <w:gridCol w:w="823"/>
        <w:gridCol w:w="1142"/>
        <w:gridCol w:w="1714"/>
        <w:gridCol w:w="829"/>
        <w:gridCol w:w="136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разделов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дисциплин</w:t>
            </w:r>
          </w:p>
        </w:tc>
        <w:tc>
          <w:tcPr>
            <w:tcW w:type="dxa" w:w="9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Общая трудоемкость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 ауд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36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Аудиторные занятия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КСР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3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ced7e7"/>
        </w:tblPrEx>
        <w:trPr>
          <w:trHeight w:val="874" w:hRule="atLeast"/>
        </w:trPr>
        <w:tc>
          <w:tcPr>
            <w:tcW w:type="dxa" w:w="11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работы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 и семинарские занятия</w:t>
            </w:r>
          </w:p>
        </w:tc>
        <w:tc>
          <w:tcPr>
            <w:tcW w:type="dxa" w:w="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/>
              <w:ind w:left="34" w:firstLine="0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outlineLvl w:val="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Понятие деловых коммуникаций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Управление общением в бизнес среде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Навыки публичного общения в бизнесе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Самостоятельное изучение литературы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Искусство презентации в бизнес среде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Деловые переговоры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Бизнес корреспонденция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Нетворкинг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Межкультурные особенности делового общения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установление деловых контактов за рубежом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outlineLvl w:val="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80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Нет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(2)"/>
        <w:shd w:val="clear" w:color="auto" w:fill="auto"/>
        <w:spacing w:before="0" w:line="264" w:lineRule="exact"/>
        <w:ind w:firstLine="58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реализации программы с применением частично или в полном объеме дистанционных образовательных технологий их использование отображается в содержании учебного плана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№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1).</w:t>
      </w:r>
    </w:p>
    <w:p>
      <w:pPr>
        <w:pStyle w:val="Основной текст (2)"/>
        <w:shd w:val="clear" w:color="auto" w:fill="auto"/>
        <w:spacing w:before="0" w:line="264" w:lineRule="exact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тематический план</w:t>
      </w:r>
    </w:p>
    <w:tbl>
      <w:tblPr>
        <w:tblW w:w="106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1"/>
        <w:gridCol w:w="2018"/>
        <w:gridCol w:w="908"/>
        <w:gridCol w:w="695"/>
        <w:gridCol w:w="823"/>
        <w:gridCol w:w="1142"/>
        <w:gridCol w:w="1714"/>
        <w:gridCol w:w="829"/>
        <w:gridCol w:w="1363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1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0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разделов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дисциплин</w:t>
            </w:r>
          </w:p>
        </w:tc>
        <w:tc>
          <w:tcPr>
            <w:tcW w:type="dxa" w:w="9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Общая трудоемкость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6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 ауд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36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Аудиторные занятия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8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КСР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3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Форма контроля</w:t>
            </w:r>
          </w:p>
        </w:tc>
      </w:tr>
      <w:tr>
        <w:tblPrEx>
          <w:shd w:val="clear" w:color="auto" w:fill="ced7e7"/>
        </w:tblPrEx>
        <w:trPr>
          <w:trHeight w:val="874" w:hRule="atLeast"/>
        </w:trPr>
        <w:tc>
          <w:tcPr>
            <w:tcW w:type="dxa" w:w="11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Лабораторные работы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Практические и семинарские занятия</w:t>
            </w:r>
          </w:p>
        </w:tc>
        <w:tc>
          <w:tcPr>
            <w:tcW w:type="dxa" w:w="8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/>
              <w:ind w:left="34" w:firstLine="0"/>
              <w:jc w:val="center"/>
            </w:pP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outlineLvl w:val="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Понятие деловых коммуникаций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Управление общением в бизнес среде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Навыки публичного общения в бизнесе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Самостоятельное изучение литературы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Искусство презентации в бизнес среде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Деловые переговоры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Бизнес корреспонденция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Нетворкинг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Межкультурные особенности делового общения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установление деловых контактов за рубежом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outlineLvl w:val="2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80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8"/>
        </w:numPr>
        <w:spacing w:line="240" w:lineRule="auto"/>
      </w:pPr>
    </w:p>
    <w:p>
      <w:pPr>
        <w:pStyle w:val="Normal.0"/>
        <w:rPr>
          <w:rStyle w:val="Нет"/>
          <w:b w:val="1"/>
          <w:bCs w:val="1"/>
        </w:rPr>
      </w:pPr>
    </w:p>
    <w:p>
      <w:pPr>
        <w:pStyle w:val="Normal.0"/>
        <w:rPr>
          <w:rStyle w:val="Нет"/>
          <w:b w:val="1"/>
          <w:bCs w:val="1"/>
        </w:rPr>
      </w:pPr>
    </w:p>
    <w:p>
      <w:pPr>
        <w:pStyle w:val="heading 2"/>
        <w:spacing w:before="0" w:after="0"/>
        <w:rPr>
          <w:rStyle w:val="Нет"/>
          <w:rFonts w:ascii="Times New Roman" w:cs="Times New Roman" w:hAnsi="Times New Roman" w:eastAsia="Times New Roman"/>
          <w:i w:val="0"/>
          <w:iCs w:val="0"/>
          <w:sz w:val="24"/>
          <w:szCs w:val="24"/>
        </w:rPr>
      </w:pPr>
      <w:r>
        <w:rPr>
          <w:rStyle w:val="Нет"/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2.3.</w:t>
        <w:tab/>
      </w:r>
      <w:r>
        <w:rPr>
          <w:rStyle w:val="Нет"/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Рабочая учебная программа</w:t>
      </w:r>
    </w:p>
    <w:p>
      <w:pPr>
        <w:pStyle w:val="Normal.0"/>
        <w:widowControl w:val="0"/>
        <w:tabs>
          <w:tab w:val="left" w:pos="898"/>
        </w:tabs>
        <w:rPr>
          <w:rStyle w:val="Нет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tabs>
          <w:tab w:val="left" w:pos="898"/>
        </w:tabs>
        <w:rPr>
          <w:rStyle w:val="Hyperlink.0"/>
        </w:rPr>
      </w:pPr>
      <w:r>
        <w:rPr>
          <w:rStyle w:val="Нет"/>
          <w:b w:val="1"/>
          <w:bCs w:val="1"/>
          <w:rtl w:val="0"/>
          <w:lang w:val="ru-RU"/>
        </w:rPr>
        <w:t>Тема </w:t>
      </w: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shd w:val="clear" w:color="auto" w:fill="ffffff"/>
          <w:rtl w:val="0"/>
          <w:lang w:val="ru-RU"/>
        </w:rPr>
        <w:t>Понятие деловых коммуникаций</w:t>
      </w:r>
      <w:r>
        <w:rPr>
          <w:rStyle w:val="Нет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shd w:val="clear" w:color="auto" w:fill="ffffff"/>
          <w:rtl w:val="0"/>
          <w:lang w:val="ru-RU"/>
        </w:rPr>
        <w:t>Управление общением в бизнес среде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Hyperlink.0"/>
        </w:rPr>
        <w:tab/>
      </w:r>
    </w:p>
    <w:p>
      <w:pPr>
        <w:pStyle w:val="Normal (Web)"/>
        <w:jc w:val="both"/>
      </w:pPr>
      <w:r>
        <w:rPr>
          <w:rStyle w:val="Hyperlink.0"/>
          <w:rtl w:val="0"/>
        </w:rPr>
        <w:tab/>
        <w:t>Содержание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Коммуникация как объект научного исследования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Специфика законов и категорий теории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Роль коммуникации в информационном обществе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Понятие деловой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Общение в бизнесе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Управление как целенаправленное регулирующее воздействие на объект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Цели управления коммуникацией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Понятие коммуникационного менеджмента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Критерии диагностики коммуникативной структуры организации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Коммуникационная составляющая связей с общественностью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jc w:val="center"/>
      </w:pPr>
      <w:r>
        <w:rPr>
          <w:rStyle w:val="Hyperlink.0"/>
          <w:rtl w:val="0"/>
          <w:lang w:val="ru-RU"/>
        </w:rPr>
        <w:t xml:space="preserve">Перечень практических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семинарских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Мозговой штурм на тему «Основы коммуникационного менеджмента в компании»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Средство аргументированного обсуждения в группе специалистов проблем и способов их решения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Помогает находить дополнительные аргументы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оттачивать формулировки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укреплять позиции и мысли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конкретизировать рекомендации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усиливать доказательства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</w:t>
            </w:r>
          </w:p>
        </w:tc>
      </w:tr>
    </w:tbl>
    <w:p>
      <w:pPr>
        <w:pStyle w:val="Normal (Web)"/>
        <w:widowControl w:val="0"/>
        <w:jc w:val="center"/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 (Web)"/>
        <w:jc w:val="center"/>
      </w:pPr>
      <w:r>
        <w:rPr>
          <w:rStyle w:val="Hyperlink.0"/>
          <w:rtl w:val="0"/>
          <w:lang w:val="ru-RU"/>
        </w:rPr>
        <w:t xml:space="preserve">Виды самостоятельной работы слушателей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СРС</w:t>
      </w:r>
      <w:r>
        <w:rPr>
          <w:rStyle w:val="Hyperlink.0"/>
          <w:rtl w:val="0"/>
          <w:lang w:val="ru-RU"/>
        </w:rPr>
        <w:t>)</w:t>
      </w: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"/>
        <w:gridCol w:w="2670"/>
        <w:gridCol w:w="2406"/>
        <w:gridCol w:w="1785"/>
        <w:gridCol w:w="1721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400" w:hRule="atLeast"/>
        </w:trPr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Методология изучения коммуникативного пространства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Коммуникативные процессы и моделирование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Системный подход в теории коммуникации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</w:rPr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Тест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Normal (Web)"/>
        <w:widowControl w:val="0"/>
        <w:jc w:val="center"/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Hyperlink.0"/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Тема </w:t>
      </w:r>
      <w:r>
        <w:rPr>
          <w:rStyle w:val="Нет"/>
          <w:b w:val="1"/>
          <w:bCs w:val="1"/>
          <w:rtl w:val="0"/>
          <w:lang w:val="ru-RU"/>
        </w:rPr>
        <w:t xml:space="preserve">2.  </w:t>
      </w:r>
      <w:r>
        <w:rPr>
          <w:rStyle w:val="Нет"/>
          <w:shd w:val="clear" w:color="auto" w:fill="ffffff"/>
          <w:rtl w:val="0"/>
          <w:lang w:val="ru-RU"/>
        </w:rPr>
        <w:t>Навыки публичного общения в бизнесе</w:t>
      </w:r>
      <w:r>
        <w:rPr>
          <w:rStyle w:val="Нет"/>
          <w:shd w:val="clear" w:color="auto" w:fill="ffffff"/>
          <w:rtl w:val="0"/>
          <w:lang w:val="ru-RU"/>
        </w:rPr>
        <w:t>.</w:t>
      </w:r>
    </w:p>
    <w:p>
      <w:pPr>
        <w:pStyle w:val="Normal (Web)"/>
        <w:jc w:val="both"/>
      </w:pPr>
      <w:r>
        <w:rPr>
          <w:rStyle w:val="Нет"/>
          <w:rtl w:val="0"/>
          <w:lang w:val="ru-RU"/>
        </w:rPr>
        <w:t>Содержание</w:t>
      </w:r>
      <w:r>
        <w:rPr>
          <w:rStyle w:val="Нет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Деловая информация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ее значимость и типы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Человек как источник информации в бизнесе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Виды устных форм делового взаимодействия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Деловая беседа как специально организованный предметный разговор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Виды деловых бесед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Технология </w:t>
      </w:r>
      <w:r>
        <w:rPr>
          <w:rStyle w:val="Нет"/>
          <w:rtl w:val="0"/>
          <w:lang w:val="en-US"/>
        </w:rPr>
        <w:t>HR</w:t>
      </w:r>
      <w:r>
        <w:rPr>
          <w:rStyle w:val="Нет"/>
          <w:rtl w:val="0"/>
          <w:lang w:val="ru-RU"/>
        </w:rPr>
        <w:t xml:space="preserve"> бесед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Собеседование при приеме на работу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Коммуникация при увольнении с работы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Проблемные или дисциплинарные беседы в компании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Технология телефонных бесед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Деловое совещание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Пресс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конференция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Психологические особенности публичного выступления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Из истории ораторского искусства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Подготовка к выступлению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Начало выступления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Как завоевать и удержать внимание аудитории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Как завершить выступление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Культура речи делового человека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Перечень практических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семинарских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Работа с кейсом на тему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«Общение в области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HR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менеджмента»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Средство публичного устного обсуждения спорной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актуальной проблемы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Формирует оценочные суждения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Виды самостоятельной работы слушателей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"/>
        <w:gridCol w:w="2705"/>
        <w:gridCol w:w="2298"/>
        <w:gridCol w:w="1971"/>
        <w:gridCol w:w="160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00" w:hRule="atLeast"/>
        </w:trPr>
        <w:tc>
          <w:tcPr>
            <w:tcW w:type="dxa" w:w="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Деловое общение как коммуникация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Информация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ее значимость и типы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Побудительная и констатирующая информация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Человек как источник информации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Виды и формы делового взаимодействия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 (Web)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</w:rPr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Самостоятельное изучение литературы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Нет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Тема </w:t>
      </w:r>
      <w:r>
        <w:rPr>
          <w:rStyle w:val="Нет"/>
          <w:b w:val="1"/>
          <w:bCs w:val="1"/>
          <w:rtl w:val="0"/>
          <w:lang w:val="ru-RU"/>
        </w:rPr>
        <w:t xml:space="preserve">3. </w:t>
      </w:r>
      <w:r>
        <w:rPr>
          <w:rStyle w:val="Нет"/>
          <w:shd w:val="clear" w:color="auto" w:fill="ffffff"/>
          <w:rtl w:val="0"/>
          <w:lang w:val="ru-RU"/>
        </w:rPr>
        <w:t>Искусство презентации в бизнес среде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 (Web)"/>
        <w:jc w:val="both"/>
      </w:pPr>
      <w:r>
        <w:rPr>
          <w:rStyle w:val="Hyperlink.0"/>
          <w:rtl w:val="0"/>
          <w:lang w:val="ru-RU"/>
        </w:rPr>
        <w:t>Содержание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Презентация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ее смысл и назначение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Виды деловых презентаций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Алгоритм подготовки деловой презентации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Дизайн презентации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Презентационный брендинг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Технологии общения с аудиторией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Техника выражения мыслей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Причины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затрудняющие передачу информации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Виды замечаний и приемы их нейтрализации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Коммуникативные барьеры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логический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стилистический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лингвистический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фонетический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Психологические барьеры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барьер первого впечатления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установки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отрицательных эмоций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характера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темперамента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Физические барьеры в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Коммуникативные просчеты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Специфика вербальных средств коммуникации в профессиональной деятельности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Перечень практических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семинарских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Разработка и групповой разбор макета деловой презентации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Полезный инструмент для исследования определенных ситуаций в профессиональной сфере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Обеспечивает более реалистические ответы на конкретные вопросы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Виды самостоятельной работы слушателей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"/>
        <w:gridCol w:w="2723"/>
        <w:gridCol w:w="2291"/>
        <w:gridCol w:w="1957"/>
        <w:gridCol w:w="160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Социальные роли и речевое поведение деловых партнеров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 (2)"/>
              <w:shd w:val="clear" w:color="auto" w:fill="auto"/>
              <w:tabs>
                <w:tab w:val="left" w:pos="93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Тема </w:t>
      </w:r>
      <w:r>
        <w:rPr>
          <w:rStyle w:val="Нет"/>
          <w:b w:val="1"/>
          <w:bCs w:val="1"/>
          <w:rtl w:val="0"/>
          <w:lang w:val="ru-RU"/>
        </w:rPr>
        <w:t xml:space="preserve">4.  </w:t>
      </w:r>
      <w:r>
        <w:rPr>
          <w:rStyle w:val="Нет"/>
          <w:b w:val="1"/>
          <w:bCs w:val="1"/>
          <w:rtl w:val="0"/>
          <w:lang w:val="ru-RU"/>
        </w:rPr>
        <w:t>Деловые переговоры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1276"/>
        </w:tabs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0"/>
          <w:rtl w:val="0"/>
          <w:lang w:val="ru-RU"/>
        </w:rPr>
        <w:t>Содержание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Деловая полемика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правила ее проведения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Культура делового спора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Переговоры как форма деловой коммуникации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подготовка и проведение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Психологический климат во время переговоров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Переговоры как средство разрешения конфликтов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Компьютерная видеоконференцсвязь и ее использование в организации делового общения при подготовке и проведении рекламной компании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tabs>
          <w:tab w:val="left" w:pos="1276"/>
        </w:tabs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Перечень практических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семинарских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Групповое обсуждение реальных примеров деловых переговоров и спорных ситуаций в бисзнесе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Средство моделирования разнообразных условий профессиональной деятельности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включая экстремальные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путем поиска новых способов ее выполнения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Позволяет слушателю более адекватно реагировать на незнакомые и сложные ситуации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воспитывать системно мышление специалиста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Виды самостоятельной работы слушателей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"/>
        <w:gridCol w:w="2714"/>
        <w:gridCol w:w="2307"/>
        <w:gridCol w:w="1952"/>
        <w:gridCol w:w="160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00" w:hRule="atLeast"/>
        </w:trPr>
        <w:tc>
          <w:tcPr>
            <w:tcW w:type="dxa" w:w="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Речь суггестии в деловой коммуникации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Словесная подстройка к деловому партнеру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Модели комфортно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психологического речевого общения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познавательная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экспессивная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суггестивная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убеждающая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Словесные диаграммы моделей дискомфортно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психологического общения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Речевые конструкты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знакомство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приветствие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прощание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поздравление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благодарность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извинение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просьба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совет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рекомендации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4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1276"/>
        </w:tabs>
        <w:spacing w:line="360" w:lineRule="auto"/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Тема </w: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Бизнес корреспонденция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 (Web)"/>
        <w:jc w:val="both"/>
      </w:pPr>
      <w:r>
        <w:rPr>
          <w:rStyle w:val="Hyperlink.0"/>
          <w:rtl w:val="0"/>
          <w:lang w:val="ru-RU"/>
        </w:rPr>
        <w:t>Содержание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Особенности официально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делового стиля речи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Текст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Создание текста в профессиональной деятельности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Этапы речевого действия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инвенция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диспозиция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произношение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Язык служебных документов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Приказ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протокол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решение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договор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Организационно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распределительная документация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резюме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заявление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анкета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докладная и объяснительная записка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таблица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сплошной связный текст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Деловые письма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соглашения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запросы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сопроводительные письма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письма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регламентивы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поздравления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извинения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соболезнования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письма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ответы с благодарностью</w:t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>Служебные записки для внутренней коммуникации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распоряжения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благодарности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напоминания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просьбы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проведение мероприятий</w:t>
      </w:r>
      <w:r>
        <w:rPr>
          <w:rStyle w:val="Hyperlink.0"/>
          <w:rtl w:val="0"/>
          <w:lang w:val="ru-RU"/>
        </w:rPr>
        <w:t xml:space="preserve">...). </w:t>
      </w:r>
      <w:r>
        <w:rPr>
          <w:rStyle w:val="Hyperlink.0"/>
          <w:rtl w:val="0"/>
          <w:lang w:val="ru-RU"/>
        </w:rPr>
        <w:t>Правила оформления деловых посланий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Рекламный текст как вид делового послания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Перечень практических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семинарских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Разбор кейсов реальных деловых документов отечественных и зарубежных компаний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Полезный инструмент для исследования определенных ситуаций в профессиональной сфере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Виды самостоятельной работы слушателей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"/>
        <w:gridCol w:w="2728"/>
        <w:gridCol w:w="2297"/>
        <w:gridCol w:w="1961"/>
        <w:gridCol w:w="160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276"/>
              </w:tabs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Культура официально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деловой речи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Нет"/>
                <w:shd w:val="nil" w:color="auto" w:fill="auto"/>
              </w:rPr>
            </w:r>
          </w:p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1276"/>
        </w:tabs>
        <w:spacing w:line="360" w:lineRule="auto"/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Тема </w:t>
      </w:r>
      <w:r>
        <w:rPr>
          <w:rStyle w:val="Нет"/>
          <w:b w:val="1"/>
          <w:bCs w:val="1"/>
          <w:rtl w:val="0"/>
          <w:lang w:val="ru-RU"/>
        </w:rPr>
        <w:t xml:space="preserve">6. </w:t>
      </w:r>
      <w:r>
        <w:rPr>
          <w:rStyle w:val="Нет"/>
          <w:b w:val="1"/>
          <w:bCs w:val="1"/>
          <w:rtl w:val="0"/>
          <w:lang w:val="ru-RU"/>
        </w:rPr>
        <w:t>Нетворкинг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 (Web)"/>
        <w:jc w:val="both"/>
      </w:pPr>
      <w:r>
        <w:rPr>
          <w:rStyle w:val="Hyperlink.0"/>
          <w:rtl w:val="0"/>
          <w:lang w:val="ru-RU"/>
        </w:rPr>
        <w:t>Содержание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Модели массовой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Модели массовой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Генеральная схема массовой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Массовая коммуникация и «лидеры мнений»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Теории «диффузии инноваций» и «обратной связи» </w:t>
      </w:r>
      <w:r>
        <w:rPr>
          <w:rStyle w:val="Hyperlink.0"/>
          <w:rtl w:val="0"/>
          <w:lang w:val="ru-RU"/>
        </w:rPr>
        <w:t xml:space="preserve">( </w:t>
      </w:r>
      <w:r>
        <w:rPr>
          <w:rStyle w:val="Hyperlink.0"/>
          <w:rtl w:val="0"/>
          <w:lang w:val="ru-RU"/>
        </w:rPr>
        <w:t>схема Дж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Райли и Ф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Балля</w:t>
      </w:r>
      <w:r>
        <w:rPr>
          <w:rStyle w:val="Hyperlink.0"/>
          <w:rtl w:val="0"/>
          <w:lang w:val="ru-RU"/>
        </w:rPr>
        <w:t xml:space="preserve">). </w:t>
      </w:r>
      <w:r>
        <w:rPr>
          <w:rStyle w:val="Hyperlink.0"/>
          <w:rtl w:val="0"/>
          <w:lang w:val="ru-RU"/>
        </w:rPr>
        <w:t>Теории массовой коммуникации М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Маклуэна и А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Моля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Понятие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цель самопрезентации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Основные презентационные модели самопрезентации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Техники самопрезентации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Стратегии самопрезентации с помощью целенаправленных сообщений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Непреднамеренное неконтролируемое поведение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Продукты деятельности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Технологические позиции в разработке Я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концепции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Анализ и учет предпочтений конкретной среды деловых отношений личности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Анализ контекста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 котором осуществляется деятельность личности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Создание сообщения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информации о личности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</w:pPr>
    </w:p>
    <w:p>
      <w:pPr>
        <w:pStyle w:val="Normal.0"/>
        <w:tabs>
          <w:tab w:val="left" w:pos="1276"/>
        </w:tabs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Normal.0"/>
        <w:tabs>
          <w:tab w:val="left" w:pos="1276"/>
        </w:tabs>
        <w:ind w:firstLine="709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Перечень практических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семинарских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Мозговой штурм на тему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«Разработка банка мероприятий для нетворкинга»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Оперативный метод решения проблемы на основе стимулирования творческой активности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Является методом экспертного оценивания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Виды самостоятельной работы слушателей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"/>
        <w:gridCol w:w="2567"/>
        <w:gridCol w:w="2561"/>
        <w:gridCol w:w="1861"/>
        <w:gridCol w:w="160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400" w:hRule="atLeast"/>
        </w:trPr>
        <w:tc>
          <w:tcPr>
            <w:tcW w:type="dxa" w:w="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Экспрессивное поведение в общении как выражение внутреннего мира делового человека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Мимические «коды» эмоциональных состояний деловых партнеров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Кинесические средства коммуникации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Кинетико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конституциональный язык лица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Визуальный контакт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взгляд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– контакт глазами как элемент тактики в разговоре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Размер зрачка как сигнал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Интерпретация сигналов в области рта и подбородка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Как подсознание «выдает» собеседника «с головой»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Руки как источник персонифицированной информации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Интерпретация связки «руки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лицо»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Язык тела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Типы сигналов тела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поза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мимика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жестикуляция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дистанцирование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интонация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походка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Вербализация ощущений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Внешняя поза и внутренняя позиция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nil" w:color="auto" w:fill="auto"/>
              </w:rPr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276"/>
        </w:tabs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Тема </w:t>
      </w:r>
      <w:r>
        <w:rPr>
          <w:rStyle w:val="Нет"/>
          <w:b w:val="1"/>
          <w:bCs w:val="1"/>
          <w:rtl w:val="0"/>
          <w:lang w:val="ru-RU"/>
        </w:rPr>
        <w:t xml:space="preserve">7. </w:t>
      </w:r>
      <w:r>
        <w:rPr>
          <w:rStyle w:val="Нет"/>
          <w:shd w:val="clear" w:color="auto" w:fill="ffffff"/>
          <w:rtl w:val="0"/>
          <w:lang w:val="ru-RU"/>
        </w:rPr>
        <w:t xml:space="preserve">Межкультурные особенности делового общения </w:t>
      </w:r>
      <w:r>
        <w:rPr>
          <w:rStyle w:val="Нет"/>
          <w:shd w:val="clear" w:color="auto" w:fill="ffffff"/>
          <w:rtl w:val="0"/>
          <w:lang w:val="ru-RU"/>
        </w:rPr>
        <w:t>(</w:t>
      </w:r>
      <w:r>
        <w:rPr>
          <w:rStyle w:val="Нет"/>
          <w:shd w:val="clear" w:color="auto" w:fill="ffffff"/>
          <w:rtl w:val="0"/>
          <w:lang w:val="ru-RU"/>
        </w:rPr>
        <w:t>установление деловых контактов за рубежом</w:t>
      </w:r>
      <w:r>
        <w:rPr>
          <w:rStyle w:val="Нет"/>
          <w:shd w:val="clear" w:color="auto" w:fill="ffffff"/>
          <w:rtl w:val="0"/>
          <w:lang w:val="ru-RU"/>
        </w:rPr>
        <w:t>)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Normal (Web)"/>
        <w:jc w:val="both"/>
      </w:pPr>
      <w:r>
        <w:rPr>
          <w:rStyle w:val="Hyperlink.0"/>
          <w:rtl w:val="0"/>
          <w:lang w:val="ru-RU"/>
        </w:rPr>
        <w:t>Содержание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Понятие и функции имиджа в общении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Имиджирование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Концептуальные подходы к изучению имиджа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Культурные особенности и функции имиджа в деловой среде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Модели поведения в междунарожной коммуникации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Теории культуры и их роль в бизнес общении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Тактика общения с зарубежным партнером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  <w:rPr>
          <w:rStyle w:val="Нет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Перечень практических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семинарских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>занятий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7086"/>
        <w:gridCol w:w="172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Наименование практических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семинарских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занятий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7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Полемика на тему «Основы продвижения бизнеса на международной арене»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Средство аргументированного обсуждения в группе специалистов проблем и способов их решения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Помогает находить дополнительные аргументы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оттачивать формулировки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укреплять позиции и мысли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конкретизировать рекомендации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усиливать доказательства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6</w:t>
            </w:r>
          </w:p>
        </w:tc>
      </w:tr>
    </w:tbl>
    <w:p>
      <w:pPr>
        <w:pStyle w:val="Normal.0"/>
        <w:widowControl w:val="0"/>
        <w:jc w:val="center"/>
        <w:rPr>
          <w:rStyle w:val="Нет"/>
          <w:b w:val="1"/>
          <w:bCs w:val="1"/>
        </w:rPr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Hyperlink.0"/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Виды самостоятельной работы слушателей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СРС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0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"/>
        <w:gridCol w:w="2721"/>
        <w:gridCol w:w="2294"/>
        <w:gridCol w:w="1957"/>
        <w:gridCol w:w="160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Вид СРС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Содержание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Форма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Внеаудиторная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для углубления и расширения полученных ранее теоретических знаний</w:t>
            </w:r>
          </w:p>
        </w:tc>
        <w:tc>
          <w:tcPr>
            <w:tcW w:type="dxa" w:w="2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276"/>
              </w:tabs>
              <w:jc w:val="both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Невербальное общение в бизнес среде в зарубежных странах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5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1276"/>
        </w:tabs>
        <w:spacing w:line="360" w:lineRule="auto"/>
        <w:jc w:val="both"/>
        <w:rPr>
          <w:rStyle w:val="Нет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1276"/>
        </w:tabs>
        <w:spacing w:line="360" w:lineRule="auto"/>
        <w:ind w:firstLine="709"/>
        <w:jc w:val="both"/>
        <w:rPr>
          <w:rStyle w:val="Нет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Учебно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методическое и информационное обеспечение дисциплины</w:t>
      </w:r>
    </w:p>
    <w:p>
      <w:pPr>
        <w:pStyle w:val="Normal (Web)"/>
        <w:spacing w:before="168" w:after="168" w:line="330" w:lineRule="atLeast"/>
        <w:ind w:firstLine="750"/>
        <w:jc w:val="both"/>
      </w:pPr>
      <w:r>
        <w:rPr>
          <w:rStyle w:val="Hyperlink.0"/>
          <w:rtl w:val="0"/>
          <w:lang w:val="ru-RU"/>
        </w:rPr>
        <w:t>Базы данных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информационно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справочные и поисковые системы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"http://www.aber.ac.uk/media/Functions/mcs.html"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http://www.aber.ac.uk/media/Functions/mcs.html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– один из наиболее полных ресурсов по теории коммуникации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en-US"/>
        </w:rPr>
      </w:pPr>
      <w:r>
        <w:rPr>
          <w:rStyle w:val="Нет"/>
          <w:rtl w:val="0"/>
          <w:lang w:val="en-US"/>
        </w:rPr>
        <w:t> 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"http://library.thinkquest.org/26451/newmenu.html"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http://library.thinkquest.org/26451/newmenu.html</w:t>
      </w:r>
      <w:r>
        <w:rPr/>
        <w:fldChar w:fldCharType="end" w:fldLock="0"/>
      </w:r>
      <w:r>
        <w:rPr>
          <w:rStyle w:val="Hyperlink.1"/>
          <w:rtl w:val="0"/>
          <w:lang w:val="en-US"/>
        </w:rPr>
        <w:t xml:space="preserve"> – </w:t>
      </w:r>
      <w:r>
        <w:rPr>
          <w:rStyle w:val="Hyperlink.1"/>
          <w:rtl w:val="0"/>
          <w:lang w:val="en-US"/>
        </w:rPr>
        <w:t>Welcome to The Evolution of Communication.</w:t>
      </w:r>
      <w:r>
        <w:rPr>
          <w:rStyle w:val="Hyperlink.1"/>
          <w:rtl w:val="0"/>
          <w:lang w:val="en-US"/>
        </w:rPr>
        <w:t> </w:t>
      </w:r>
      <w:r>
        <w:rPr>
          <w:rStyle w:val="Нет"/>
          <w:rtl w:val="0"/>
          <w:lang w:val="ru-RU"/>
        </w:rPr>
        <w:t xml:space="preserve">Весьма обширная информация об истории коммуникативных систем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от доисторических наскальных надписей до радио и телевидения</w:t>
      </w:r>
      <w:r>
        <w:rPr>
          <w:rStyle w:val="Нет"/>
          <w:rtl w:val="0"/>
          <w:lang w:val="ru-RU"/>
        </w:rPr>
        <w:t>).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"http://cios.org/www/comweb.htm"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http://cios.org/www/comweb.htm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–</w:t>
      </w:r>
      <w:r>
        <w:rPr>
          <w:rStyle w:val="Hyperlink.0"/>
          <w:rtl w:val="0"/>
          <w:lang w:val="ru-RU"/>
        </w:rPr>
        <w:t>20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000</w:t>
      </w:r>
      <w:r>
        <w:rPr>
          <w:rStyle w:val="Hyperlink.0"/>
          <w:rtl w:val="0"/>
          <w:lang w:val="ru-RU"/>
        </w:rPr>
        <w:t> с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текстов в области коммуникации и журналистики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"http://www.smartbiz.com/sbs/cats/comm.htm"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http://www.smartbiz.com/sbs/cats/comm.htm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–информация по бизнес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коммуникации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деловой переписке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презентациям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офисной работе и т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 xml:space="preserve">Вопросы культуры и культуры поведения в разных странах </w:t>
      </w:r>
      <w:r>
        <w:rPr>
          <w:rStyle w:val="Hyperlink.0"/>
          <w:rtl w:val="0"/>
          <w:lang w:val="ru-RU"/>
        </w:rPr>
        <w:t>http://www.execultiveplanet.com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 xml:space="preserve">Информация о международном этикете и манерах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"http://www.cyborlink.com"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http://www.cyborlink.com</w:t>
      </w:r>
      <w:r>
        <w:rPr/>
        <w:fldChar w:fldCharType="end" w:fldLock="0"/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Сайт «Деловой этикет»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"http://www.delovoi-etiket.info/"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http://www.delovoi-etiket.info/</w:t>
      </w:r>
      <w:r>
        <w:rPr/>
        <w:fldChar w:fldCharType="end" w:fldLock="0"/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 xml:space="preserve">Сайт по профессиональной этикет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"http://www.questia.com"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http://www.questia.com</w:t>
      </w:r>
      <w:r>
        <w:rPr/>
        <w:fldChar w:fldCharType="end" w:fldLock="0"/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 xml:space="preserve">Научная электронная библиотека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НЭБ</w:t>
      </w:r>
      <w:r>
        <w:rPr>
          <w:rStyle w:val="Hyperlink.0"/>
          <w:rtl w:val="0"/>
          <w:lang w:val="ru-RU"/>
        </w:rPr>
        <w:t>).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Электронно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библиотечная система </w:t>
      </w:r>
      <w:r>
        <w:rPr>
          <w:rStyle w:val="Hyperlink.0"/>
          <w:rtl w:val="0"/>
          <w:lang w:val="ru-RU"/>
        </w:rPr>
        <w:t>BOOK.ru.</w:t>
      </w:r>
    </w:p>
    <w:p>
      <w:pPr>
        <w:pStyle w:val="Normal (Web)"/>
        <w:numPr>
          <w:ilvl w:val="0"/>
          <w:numId w:val="10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Электронно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библиотечная система </w:t>
      </w:r>
      <w:r>
        <w:rPr>
          <w:rStyle w:val="Hyperlink.0"/>
          <w:rtl w:val="0"/>
          <w:lang w:val="ru-RU"/>
        </w:rPr>
        <w:t xml:space="preserve">znanium.com </w:t>
      </w:r>
      <w:r>
        <w:rPr>
          <w:rStyle w:val="Hyperlink.0"/>
          <w:rtl w:val="0"/>
          <w:lang w:val="ru-RU"/>
        </w:rPr>
        <w:t>издательства «ИНФРА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М»</w:t>
      </w:r>
      <w:r>
        <w:rPr>
          <w:rStyle w:val="Hyperlink.0"/>
          <w:rtl w:val="0"/>
          <w:lang w:val="ru-RU"/>
        </w:rPr>
        <w:t>.</w:t>
      </w:r>
    </w:p>
    <w:p>
      <w:pPr>
        <w:pStyle w:val="List Paragraph"/>
        <w:ind w:left="0" w:firstLine="0"/>
        <w:rPr>
          <w:rStyle w:val="Нет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ind w:lef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Материально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техническое обеспечение программы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  <w:ind w:left="567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Аудитории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оборудованные компьютерными и телекоммуникационными средствами</w:t>
      </w:r>
      <w:r>
        <w:rPr>
          <w:rStyle w:val="Нет"/>
          <w:sz w:val="24"/>
          <w:szCs w:val="24"/>
          <w:rtl w:val="0"/>
          <w:lang w:val="ru-RU"/>
        </w:rPr>
        <w:t>: -</w:t>
      </w:r>
      <w:r>
        <w:rPr>
          <w:rStyle w:val="Нет"/>
          <w:sz w:val="24"/>
          <w:szCs w:val="24"/>
          <w:rtl w:val="0"/>
          <w:lang w:val="ru-RU"/>
        </w:rPr>
        <w:t>проектор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интерактивная доска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компьютер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презентер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567"/>
        </w:tabs>
        <w:spacing w:before="0" w:line="240" w:lineRule="auto"/>
        <w:jc w:val="both"/>
        <w:rPr>
          <w:rStyle w:val="Нет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Style1"/>
        <w:jc w:val="both"/>
      </w:pPr>
      <w:r>
        <w:rPr>
          <w:rStyle w:val="Нет"/>
          <w:b w:val="1"/>
          <w:bCs w:val="1"/>
          <w:rtl w:val="0"/>
          <w:lang w:val="ru-RU"/>
        </w:rPr>
        <w:t xml:space="preserve">3. </w:t>
      </w:r>
      <w:r>
        <w:rPr>
          <w:rStyle w:val="Нет"/>
          <w:b w:val="1"/>
          <w:bCs w:val="1"/>
          <w:rtl w:val="0"/>
          <w:lang w:val="ru-RU"/>
        </w:rPr>
        <w:t>ОЦЕНКА КАЧЕСТВА ОСВОЕНИЯ ПРОГРАММЫ</w:t>
      </w:r>
    </w:p>
    <w:p>
      <w:pPr>
        <w:pStyle w:val="Основной текст (2)"/>
        <w:shd w:val="clear" w:color="auto" w:fill="auto"/>
        <w:spacing w:before="0" w:line="240" w:lineRule="auto"/>
        <w:jc w:val="both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Форма текущего контроля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не предусмотрена</w:t>
      </w: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Нет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Форма промежуточной аттестации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не предусмотрена</w:t>
      </w: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Форма итоговой аттестации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зачет</w:t>
      </w: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Hyperlink.0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Оценка качества освоения программы включает итоговую аттестацию обучающихся в форме зачета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Зачет проводится в устной форме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Примерный перечень вопросов к зачету представлен в Приложении </w:t>
      </w:r>
      <w:r>
        <w:rPr>
          <w:rStyle w:val="Нет"/>
          <w:sz w:val="24"/>
          <w:szCs w:val="24"/>
          <w:rtl w:val="0"/>
          <w:lang w:val="ru-RU"/>
        </w:rPr>
        <w:t>1.</w:t>
      </w: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Hyperlink.0"/>
          <w:sz w:val="24"/>
          <w:szCs w:val="24"/>
        </w:rPr>
      </w:pP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Критериями оценки качества выступления являются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</w:pPr>
      <w:r>
        <w:rPr>
          <w:rStyle w:val="Hyperlink.0"/>
          <w:rtl w:val="0"/>
        </w:rPr>
        <w:t xml:space="preserve">- </w:t>
      </w:r>
      <w:r>
        <w:rPr>
          <w:rStyle w:val="Hyperlink.0"/>
          <w:rtl w:val="0"/>
        </w:rPr>
        <w:t>раскрытие темы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содержащейся в заданном вопросе</w:t>
      </w:r>
      <w:r>
        <w:rPr>
          <w:rStyle w:val="Hyperlink.0"/>
          <w:rtl w:val="0"/>
        </w:rPr>
        <w:t>: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полностью – </w:t>
      </w:r>
      <w:r>
        <w:rPr>
          <w:rStyle w:val="Нет"/>
          <w:b w:val="1"/>
          <w:bCs w:val="1"/>
          <w:rtl w:val="0"/>
          <w:lang w:val="ru-RU"/>
        </w:rPr>
        <w:t xml:space="preserve">2 </w:t>
      </w:r>
      <w:r>
        <w:rPr>
          <w:rStyle w:val="Нет"/>
          <w:b w:val="1"/>
          <w:bCs w:val="1"/>
          <w:rtl w:val="0"/>
          <w:lang w:val="ru-RU"/>
        </w:rPr>
        <w:t>балла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частично – </w:t>
      </w:r>
      <w:r>
        <w:rPr>
          <w:rStyle w:val="Нет"/>
          <w:b w:val="1"/>
          <w:bCs w:val="1"/>
          <w:rtl w:val="0"/>
          <w:lang w:val="ru-RU"/>
        </w:rPr>
        <w:t xml:space="preserve">1 </w:t>
      </w:r>
      <w:r>
        <w:rPr>
          <w:rStyle w:val="Нет"/>
          <w:b w:val="1"/>
          <w:bCs w:val="1"/>
          <w:rtl w:val="0"/>
          <w:lang w:val="ru-RU"/>
        </w:rPr>
        <w:t>балл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отсутствует – </w:t>
      </w:r>
      <w:r>
        <w:rPr>
          <w:rStyle w:val="Нет"/>
          <w:b w:val="1"/>
          <w:bCs w:val="1"/>
          <w:rtl w:val="0"/>
          <w:lang w:val="ru-RU"/>
        </w:rPr>
        <w:t xml:space="preserve">0 </w:t>
      </w:r>
      <w:r>
        <w:rPr>
          <w:rStyle w:val="Нет"/>
          <w:b w:val="1"/>
          <w:bCs w:val="1"/>
          <w:rtl w:val="0"/>
          <w:lang w:val="ru-RU"/>
        </w:rPr>
        <w:t xml:space="preserve">баллов </w:t>
      </w:r>
    </w:p>
    <w:p>
      <w:pPr>
        <w:pStyle w:val="Normal.0"/>
      </w:pPr>
      <w:r>
        <w:rPr>
          <w:rStyle w:val="Hyperlink.0"/>
          <w:rtl w:val="0"/>
        </w:rPr>
        <w:t xml:space="preserve">- </w:t>
      </w:r>
      <w:r>
        <w:rPr>
          <w:rStyle w:val="Hyperlink.0"/>
          <w:rtl w:val="0"/>
        </w:rPr>
        <w:t>аргументированность собственной позиции учащегося</w:t>
      </w:r>
      <w:r>
        <w:rPr>
          <w:rStyle w:val="Hyperlink.0"/>
          <w:rtl w:val="0"/>
        </w:rPr>
        <w:t>: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полностью – </w:t>
      </w:r>
      <w:r>
        <w:rPr>
          <w:rStyle w:val="Нет"/>
          <w:b w:val="1"/>
          <w:bCs w:val="1"/>
          <w:rtl w:val="0"/>
          <w:lang w:val="ru-RU"/>
        </w:rPr>
        <w:t xml:space="preserve">2 </w:t>
      </w:r>
      <w:r>
        <w:rPr>
          <w:rStyle w:val="Нет"/>
          <w:b w:val="1"/>
          <w:bCs w:val="1"/>
          <w:rtl w:val="0"/>
          <w:lang w:val="ru-RU"/>
        </w:rPr>
        <w:t>балла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частично – </w:t>
      </w:r>
      <w:r>
        <w:rPr>
          <w:rStyle w:val="Нет"/>
          <w:b w:val="1"/>
          <w:bCs w:val="1"/>
          <w:rtl w:val="0"/>
          <w:lang w:val="ru-RU"/>
        </w:rPr>
        <w:t xml:space="preserve">1 </w:t>
      </w:r>
      <w:r>
        <w:rPr>
          <w:rStyle w:val="Нет"/>
          <w:b w:val="1"/>
          <w:bCs w:val="1"/>
          <w:rtl w:val="0"/>
          <w:lang w:val="ru-RU"/>
        </w:rPr>
        <w:t>балл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отсутствует – </w:t>
      </w:r>
      <w:r>
        <w:rPr>
          <w:rStyle w:val="Нет"/>
          <w:b w:val="1"/>
          <w:bCs w:val="1"/>
          <w:rtl w:val="0"/>
          <w:lang w:val="ru-RU"/>
        </w:rPr>
        <w:t xml:space="preserve">0 </w:t>
      </w:r>
      <w:r>
        <w:rPr>
          <w:rStyle w:val="Нет"/>
          <w:b w:val="1"/>
          <w:bCs w:val="1"/>
          <w:rtl w:val="0"/>
          <w:lang w:val="ru-RU"/>
        </w:rPr>
        <w:t xml:space="preserve">баллов </w:t>
      </w:r>
    </w:p>
    <w:p>
      <w:pPr>
        <w:pStyle w:val="Normal.0"/>
      </w:pPr>
      <w:r>
        <w:rPr>
          <w:rStyle w:val="Hyperlink.0"/>
          <w:rtl w:val="0"/>
        </w:rPr>
        <w:t xml:space="preserve">- </w:t>
      </w:r>
      <w:r>
        <w:rPr>
          <w:rStyle w:val="Hyperlink.0"/>
          <w:rtl w:val="0"/>
        </w:rPr>
        <w:t>использование усвоенных в процессе обучения практических навыков делового общения и этикета</w:t>
      </w:r>
      <w:r>
        <w:rPr>
          <w:rStyle w:val="Hyperlink.0"/>
          <w:rtl w:val="0"/>
        </w:rPr>
        <w:t>: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полностью – </w:t>
      </w:r>
      <w:r>
        <w:rPr>
          <w:rStyle w:val="Нет"/>
          <w:b w:val="1"/>
          <w:bCs w:val="1"/>
          <w:rtl w:val="0"/>
          <w:lang w:val="ru-RU"/>
        </w:rPr>
        <w:t xml:space="preserve">2 </w:t>
      </w:r>
      <w:r>
        <w:rPr>
          <w:rStyle w:val="Нет"/>
          <w:b w:val="1"/>
          <w:bCs w:val="1"/>
          <w:rtl w:val="0"/>
          <w:lang w:val="ru-RU"/>
        </w:rPr>
        <w:t>балла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частично – </w:t>
      </w:r>
      <w:r>
        <w:rPr>
          <w:rStyle w:val="Нет"/>
          <w:b w:val="1"/>
          <w:bCs w:val="1"/>
          <w:rtl w:val="0"/>
          <w:lang w:val="ru-RU"/>
        </w:rPr>
        <w:t xml:space="preserve">1 </w:t>
      </w:r>
      <w:r>
        <w:rPr>
          <w:rStyle w:val="Нет"/>
          <w:b w:val="1"/>
          <w:bCs w:val="1"/>
          <w:rtl w:val="0"/>
          <w:lang w:val="ru-RU"/>
        </w:rPr>
        <w:t>балл</w:t>
      </w:r>
    </w:p>
    <w:p>
      <w:pPr>
        <w:pStyle w:val="Normal.0"/>
        <w:ind w:firstLine="567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 xml:space="preserve">отсутствует – </w:t>
      </w:r>
      <w:r>
        <w:rPr>
          <w:rStyle w:val="Нет"/>
          <w:b w:val="1"/>
          <w:bCs w:val="1"/>
          <w:rtl w:val="0"/>
          <w:lang w:val="ru-RU"/>
        </w:rPr>
        <w:t xml:space="preserve">0 </w:t>
      </w:r>
      <w:r>
        <w:rPr>
          <w:rStyle w:val="Нет"/>
          <w:b w:val="1"/>
          <w:bCs w:val="1"/>
          <w:rtl w:val="0"/>
          <w:lang w:val="ru-RU"/>
        </w:rPr>
        <w:t xml:space="preserve">баллов </w:t>
      </w:r>
    </w:p>
    <w:p>
      <w:pPr>
        <w:pStyle w:val="Normal.0"/>
        <w:ind w:firstLine="567"/>
      </w:pPr>
    </w:p>
    <w:p>
      <w:pPr>
        <w:pStyle w:val="Основной текст (2)"/>
        <w:shd w:val="clear" w:color="auto" w:fill="auto"/>
        <w:spacing w:before="0" w:line="240" w:lineRule="auto"/>
        <w:ind w:firstLine="58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Результаты итоговой аттестации оцениваются исходя из следующего количества полученных баллов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line="240" w:lineRule="auto"/>
        <w:jc w:val="both"/>
        <w:rPr>
          <w:rStyle w:val="Hyperlink.0"/>
          <w:sz w:val="24"/>
          <w:szCs w:val="24"/>
        </w:rPr>
      </w:pPr>
    </w:p>
    <w:tbl>
      <w:tblPr>
        <w:tblW w:w="7655" w:type="dxa"/>
        <w:jc w:val="left"/>
        <w:tblInd w:w="9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8"/>
        <w:gridCol w:w="368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before="0" w:line="240" w:lineRule="auto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Зачтено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before="0" w:line="240" w:lineRule="auto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Не зачтено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before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-12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(2)"/>
              <w:shd w:val="clear" w:color="auto" w:fill="auto"/>
              <w:spacing w:before="0" w:line="240" w:lineRule="auto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0-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баллов</w:t>
            </w:r>
          </w:p>
        </w:tc>
      </w:tr>
    </w:tbl>
    <w:p>
      <w:pPr>
        <w:pStyle w:val="Основной текст (2)"/>
        <w:shd w:val="clear" w:color="auto" w:fill="auto"/>
        <w:spacing w:before="0" w:line="240" w:lineRule="auto"/>
        <w:ind w:left="817" w:hanging="817"/>
        <w:jc w:val="both"/>
        <w:rPr>
          <w:rStyle w:val="Hyperlink.0"/>
          <w:sz w:val="24"/>
          <w:szCs w:val="24"/>
        </w:rPr>
      </w:pPr>
    </w:p>
    <w:p>
      <w:pPr>
        <w:pStyle w:val="Normal.0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СОСТАВИТЕЛИ ПРОГРАММЫ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b w:val="1"/>
          <w:bCs w:val="1"/>
        </w:rPr>
      </w:pPr>
    </w:p>
    <w:p>
      <w:pPr>
        <w:pStyle w:val="Normal.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Данько Ольга Александровна</w:t>
      </w:r>
      <w:r>
        <w:rPr>
          <w:rStyle w:val="Нет"/>
          <w:b w:val="1"/>
          <w:bCs w:val="1"/>
          <w:rtl w:val="0"/>
          <w:lang w:val="ru-RU"/>
        </w:rPr>
        <w:t>,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кандидат педагогических наук</w:t>
      </w:r>
      <w:r>
        <w:rPr>
          <w:rStyle w:val="Hyperlink.0"/>
          <w:rtl w:val="0"/>
          <w:lang w:val="ru-RU"/>
        </w:rPr>
        <w:t xml:space="preserve">, 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доцент кафедры Иностранных языков №</w:t>
      </w:r>
      <w:r>
        <w:rPr>
          <w:rStyle w:val="Hyperlink.0"/>
          <w:rtl w:val="0"/>
          <w:lang w:val="ru-RU"/>
        </w:rPr>
        <w:t xml:space="preserve">1 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ФГБОУ ВО «РЭУ имени Г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Плеханова»</w:t>
        <w:tab/>
        <w:tab/>
        <w:tab/>
      </w:r>
      <w:r>
        <w:rPr>
          <w:rStyle w:val="Нет"/>
          <w:b w:val="1"/>
          <w:bCs w:val="1"/>
          <w:rtl w:val="0"/>
          <w:lang w:val="ru-RU"/>
        </w:rPr>
        <w:t>_______________</w:t>
      </w:r>
    </w:p>
    <w:p>
      <w:pPr>
        <w:pStyle w:val="Normal.0"/>
        <w:spacing w:line="360" w:lineRule="auto"/>
        <w:rPr>
          <w:rStyle w:val="Нет"/>
          <w:b w:val="1"/>
          <w:bCs w:val="1"/>
        </w:rPr>
      </w:pPr>
    </w:p>
    <w:p>
      <w:pPr>
        <w:pStyle w:val="Normal.0"/>
        <w:spacing w:line="360" w:lineRule="auto"/>
      </w:pPr>
      <w:r>
        <w:rPr>
          <w:rStyle w:val="Нет"/>
          <w:b w:val="1"/>
          <w:bCs w:val="1"/>
          <w:rtl w:val="0"/>
          <w:lang w:val="ru-RU"/>
        </w:rPr>
        <w:t>Еныгин Дмитрий Викторович</w:t>
      </w:r>
      <w:r>
        <w:rPr>
          <w:rStyle w:val="Hyperlink.0"/>
          <w:rtl w:val="0"/>
          <w:lang w:val="ru-RU"/>
        </w:rPr>
        <w:t>,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кандидат педагогических наук</w:t>
      </w:r>
      <w:r>
        <w:rPr>
          <w:rStyle w:val="Hyperlink.0"/>
          <w:rtl w:val="0"/>
          <w:lang w:val="ru-RU"/>
        </w:rPr>
        <w:t xml:space="preserve">, 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доцент кафедры Иностранных языков №</w:t>
      </w:r>
      <w:r>
        <w:rPr>
          <w:rStyle w:val="Hyperlink.0"/>
          <w:rtl w:val="0"/>
          <w:lang w:val="ru-RU"/>
        </w:rPr>
        <w:t xml:space="preserve">1 </w:t>
      </w:r>
    </w:p>
    <w:p>
      <w:pPr>
        <w:pStyle w:val="Normal.0"/>
        <w:spacing w:line="360" w:lineRule="auto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>ФГБОУ ВО «РЭУ имени Г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Плеханова»</w:t>
        <w:tab/>
        <w:tab/>
        <w:tab/>
      </w:r>
      <w:r>
        <w:rPr>
          <w:rStyle w:val="Нет"/>
          <w:b w:val="1"/>
          <w:bCs w:val="1"/>
          <w:rtl w:val="0"/>
          <w:lang w:val="ru-RU"/>
        </w:rPr>
        <w:t>_______________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Style w:val="Нет"/>
          <w:b w:val="1"/>
          <w:bCs w:val="1"/>
          <w:rtl w:val="0"/>
          <w:lang w:val="ru-RU"/>
        </w:rPr>
        <w:t>Мидова Венера Олеговна</w:t>
      </w:r>
      <w:r>
        <w:rPr>
          <w:rStyle w:val="Hyperlink.0"/>
          <w:rtl w:val="0"/>
          <w:lang w:val="ru-RU"/>
        </w:rPr>
        <w:t>,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кандидат психологических наук</w:t>
      </w:r>
      <w:r>
        <w:rPr>
          <w:rStyle w:val="Hyperlink.0"/>
          <w:rtl w:val="0"/>
          <w:lang w:val="ru-RU"/>
        </w:rPr>
        <w:t xml:space="preserve">, </w:t>
      </w:r>
    </w:p>
    <w:p>
      <w:pPr>
        <w:pStyle w:val="Normal.0"/>
        <w:spacing w:line="360" w:lineRule="auto"/>
      </w:pPr>
      <w:r>
        <w:rPr>
          <w:rStyle w:val="Hyperlink.0"/>
          <w:rtl w:val="0"/>
          <w:lang w:val="ru-RU"/>
        </w:rPr>
        <w:t>доцент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о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зав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кафедры Иностранных языков №</w:t>
      </w:r>
      <w:r>
        <w:rPr>
          <w:rStyle w:val="Hyperlink.0"/>
          <w:rtl w:val="0"/>
          <w:lang w:val="ru-RU"/>
        </w:rPr>
        <w:t xml:space="preserve">1 </w:t>
      </w:r>
    </w:p>
    <w:p>
      <w:pPr>
        <w:pStyle w:val="Normal.0"/>
        <w:spacing w:line="360" w:lineRule="auto"/>
        <w:rPr>
          <w:rStyle w:val="Нет"/>
          <w:b w:val="1"/>
          <w:bCs w:val="1"/>
        </w:rPr>
      </w:pPr>
      <w:r>
        <w:rPr>
          <w:rStyle w:val="Hyperlink.0"/>
          <w:rtl w:val="0"/>
          <w:lang w:val="ru-RU"/>
        </w:rPr>
        <w:t>ФГБОУ ВО «РЭУ имени Г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Плеханова»</w:t>
        <w:tab/>
        <w:tab/>
        <w:tab/>
      </w:r>
      <w:r>
        <w:rPr>
          <w:rStyle w:val="Нет"/>
          <w:b w:val="1"/>
          <w:bCs w:val="1"/>
          <w:rtl w:val="0"/>
          <w:lang w:val="ru-RU"/>
        </w:rPr>
        <w:t>_______________</w:t>
      </w:r>
    </w:p>
    <w:p>
      <w:pPr>
        <w:pStyle w:val="Normal.0"/>
        <w:spacing w:line="360" w:lineRule="auto"/>
      </w:pPr>
    </w:p>
    <w:p>
      <w:pPr>
        <w:pStyle w:val="Normal.0"/>
        <w:jc w:val="both"/>
        <w:rPr>
          <w:rStyle w:val="Нет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</w:pPr>
    </w:p>
    <w:p>
      <w:pPr>
        <w:pStyle w:val="Основной текст (2)"/>
        <w:shd w:val="clear" w:color="auto" w:fill="auto"/>
        <w:spacing w:before="0" w:line="240" w:lineRule="auto"/>
        <w:jc w:val="lef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240" w:lineRule="auto"/>
        <w:jc w:val="lef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240" w:lineRule="auto"/>
        <w:ind w:firstLine="580"/>
        <w:jc w:val="right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Основной текст (2)"/>
        <w:shd w:val="clear" w:color="auto" w:fill="auto"/>
        <w:spacing w:before="0" w:line="240" w:lineRule="auto"/>
        <w:ind w:firstLine="580"/>
        <w:jc w:val="left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240" w:lineRule="auto"/>
        <w:ind w:firstLine="580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(2)"/>
        <w:shd w:val="clear" w:color="auto" w:fill="auto"/>
        <w:spacing w:before="0" w:line="240" w:lineRule="auto"/>
        <w:ind w:firstLine="58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Примерный перечень вопросов к зачету</w:t>
      </w:r>
    </w:p>
    <w:p>
      <w:pPr>
        <w:pStyle w:val="Normal.0"/>
        <w:tabs>
          <w:tab w:val="left" w:pos="894"/>
        </w:tabs>
        <w:spacing w:line="264" w:lineRule="exact"/>
        <w:jc w:val="both"/>
        <w:rPr>
          <w:rStyle w:val="Hyperlink.0"/>
        </w:rPr>
      </w:pP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Понятие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содержание и стили деловой коммуникации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Деловое общение как управленческая категория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Принципы и функции делового общения в управлении персоналом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Деловое общение и деловой̆ этикет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Особенности деловых переговоров и их характер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Конфликты в деловом общении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стадии их становления и протекания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 xml:space="preserve"> Барьеры общения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Правила публичной коммуникации в бизнесе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Публичная речь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реклама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презентация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Нет"/>
          <w:rtl w:val="0"/>
          <w:lang w:val="ru-RU"/>
        </w:rPr>
        <w:t>Бизнес этикет</w:t>
      </w:r>
      <w:r>
        <w:rPr>
          <w:rStyle w:val="Hyperlink.1"/>
          <w:rtl w:val="0"/>
          <w:lang w:val="en-US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Навыки эффективной презентации в деловой среде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Нет"/>
          <w:rtl w:val="0"/>
          <w:lang w:val="ru-RU"/>
        </w:rPr>
        <w:t>Виды деловых презентаций</w:t>
      </w:r>
      <w:r>
        <w:rPr>
          <w:rStyle w:val="Hyperlink.1"/>
          <w:rtl w:val="0"/>
          <w:lang w:val="en-US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Технологии работы с возражениями во время деловой презентации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Механизмы формирования первого впечатления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Деловые переговоры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Общие правила оформления документов в деловом общении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Виды деловой корреспонденции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Документ как основная форма делового общения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Деловые письма и их формы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Основные требования к тексту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Формирование первого впечатления при деловом знакомстве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Понятие нетворкинга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Стратегии и тактики нетворкинга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Технологии установления деловых контактов за рубежом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Нет"/>
          <w:rtl w:val="0"/>
          <w:lang w:val="ru-RU"/>
        </w:rPr>
        <w:t>Межкультурные особенности делового общения</w:t>
      </w:r>
      <w:r>
        <w:rPr>
          <w:rStyle w:val="Hyperlink.1"/>
          <w:rtl w:val="0"/>
          <w:lang w:val="en-US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Hyperlink.0"/>
          <w:rtl w:val="0"/>
          <w:lang w:val="ru-RU"/>
        </w:rPr>
        <w:t>Стратегии управления коммуникацией в бизнесе на международной арене</w:t>
      </w:r>
      <w:r>
        <w:rPr>
          <w:rStyle w:val="Hyperlink.0"/>
          <w:rtl w:val="0"/>
          <w:lang w:val="ru-RU"/>
        </w:rPr>
        <w:t>.</w:t>
      </w:r>
    </w:p>
    <w:p>
      <w:pPr>
        <w:pStyle w:val="Normal (Web)"/>
        <w:numPr>
          <w:ilvl w:val="0"/>
          <w:numId w:val="12"/>
        </w:numPr>
        <w:spacing w:before="168" w:after="168" w:line="330" w:lineRule="atLeast"/>
        <w:jc w:val="both"/>
        <w:rPr>
          <w:lang w:val="ru-RU"/>
        </w:rPr>
      </w:pPr>
      <w:r>
        <w:rPr>
          <w:rStyle w:val="Нет"/>
          <w:rtl w:val="0"/>
          <w:lang w:val="ru-RU"/>
        </w:rPr>
        <w:t>Межкультурные барьеры делового общения</w:t>
      </w:r>
      <w:r>
        <w:rPr>
          <w:rStyle w:val="Hyperlink.1"/>
          <w:rtl w:val="0"/>
          <w:lang w:val="en-US"/>
        </w:rPr>
        <w:t>.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 (Web)"/>
        <w:spacing w:before="168" w:after="168" w:line="330" w:lineRule="atLeast"/>
        <w:jc w:val="both"/>
      </w:pPr>
    </w:p>
    <w:p>
      <w:pPr>
        <w:pStyle w:val="Normal (Web)"/>
        <w:spacing w:before="168" w:after="168" w:line="330" w:lineRule="atLeast"/>
        <w:ind w:firstLine="750"/>
        <w:jc w:val="both"/>
      </w:pPr>
      <w:r>
        <w:rPr>
          <w:rStyle w:val="Hyperlink.0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tabs>
          <w:tab w:val="left" w:pos="894"/>
        </w:tabs>
        <w:spacing w:before="0" w:line="264" w:lineRule="exact"/>
        <w:ind w:firstLine="567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(2)"/>
        <w:shd w:val="clear" w:color="auto" w:fill="auto"/>
        <w:tabs>
          <w:tab w:val="left" w:pos="894"/>
        </w:tabs>
        <w:spacing w:before="0" w:line="264" w:lineRule="exact"/>
        <w:ind w:firstLine="567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(2)"/>
        <w:shd w:val="clear" w:color="auto" w:fill="auto"/>
        <w:tabs>
          <w:tab w:val="left" w:pos="894"/>
        </w:tabs>
        <w:spacing w:before="0" w:line="264" w:lineRule="exact"/>
        <w:ind w:firstLine="567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(2)"/>
        <w:shd w:val="clear" w:color="auto" w:fill="auto"/>
        <w:tabs>
          <w:tab w:val="left" w:pos="894"/>
        </w:tabs>
        <w:spacing w:before="0" w:line="264" w:lineRule="exact"/>
        <w:ind w:firstLine="567"/>
        <w:jc w:val="both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Normal.0"/>
      </w:pPr>
    </w:p>
    <w:p>
      <w:pPr>
        <w:pStyle w:val="Normal.0"/>
        <w:jc w:val="right"/>
      </w:pPr>
      <w:r>
        <w:rPr>
          <w:rStyle w:val="Hyperlink.0"/>
          <w:rtl w:val="0"/>
          <w:lang w:val="ru-RU"/>
        </w:rPr>
        <w:t>Приложение №</w:t>
      </w:r>
      <w:r>
        <w:rPr>
          <w:rStyle w:val="Hyperlink.0"/>
          <w:rtl w:val="0"/>
          <w:lang w:val="ru-RU"/>
        </w:rPr>
        <w:t>1</w:t>
      </w:r>
    </w:p>
    <w:p>
      <w:pPr>
        <w:pStyle w:val="Normal.0"/>
        <w:jc w:val="right"/>
      </w:pPr>
      <w:r>
        <w:rPr>
          <w:rStyle w:val="Hyperlink.0"/>
          <w:rtl w:val="0"/>
          <w:lang w:val="ru-RU"/>
        </w:rPr>
        <w:t xml:space="preserve">Форма учебного плана программы </w:t>
      </w:r>
    </w:p>
    <w:p>
      <w:pPr>
        <w:pStyle w:val="Normal.0"/>
        <w:jc w:val="right"/>
      </w:pPr>
      <w:r>
        <w:rPr>
          <w:rStyle w:val="Hyperlink.0"/>
          <w:rtl w:val="0"/>
          <w:lang w:val="ru-RU"/>
        </w:rPr>
        <w:t>с применением дистанционных технологий</w:t>
      </w:r>
    </w:p>
    <w:p>
      <w:pPr>
        <w:pStyle w:val="Normal.0"/>
        <w:jc w:val="center"/>
      </w:pPr>
    </w:p>
    <w:tbl>
      <w:tblPr>
        <w:tblW w:w="147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3"/>
        <w:gridCol w:w="1574"/>
        <w:gridCol w:w="1025"/>
        <w:gridCol w:w="1022"/>
        <w:gridCol w:w="1113"/>
        <w:gridCol w:w="1276"/>
        <w:gridCol w:w="720"/>
        <w:gridCol w:w="877"/>
        <w:gridCol w:w="912"/>
        <w:gridCol w:w="1122"/>
        <w:gridCol w:w="688"/>
        <w:gridCol w:w="1113"/>
        <w:gridCol w:w="697"/>
        <w:gridCol w:w="1022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6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clear" w:color="auto" w:fill="ffff00"/>
                <w:rtl w:val="0"/>
                <w:lang w:val="ru-RU"/>
              </w:rPr>
              <w:t>Наименование дисциплины</w:t>
            </w:r>
          </w:p>
        </w:tc>
        <w:tc>
          <w:tcPr>
            <w:tcW w:type="dxa" w:w="1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Общая трудоемкость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8067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 учебному плану с использованием дистанционных образовательных технологий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6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СРС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в 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КСР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11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Текущий контроль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)**</w:t>
            </w:r>
          </w:p>
        </w:tc>
        <w:tc>
          <w:tcPr>
            <w:tcW w:type="dxa" w:w="1718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Промежуточная аттестация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Аудиторные занятия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36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Дистанционные занятия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6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3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Из них</w:t>
            </w:r>
          </w:p>
        </w:tc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29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Из них</w:t>
            </w:r>
          </w:p>
        </w:tc>
        <w:tc>
          <w:tcPr>
            <w:tcW w:type="dxa" w:w="6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8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59" w:hRule="atLeast"/>
        </w:trPr>
        <w:tc>
          <w:tcPr>
            <w:tcW w:type="dxa" w:w="16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Лабораторные работы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Практические занятия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семинары</w:t>
            </w:r>
          </w:p>
        </w:tc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Лекции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Лабораторные работы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Практические занятия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семинары</w:t>
            </w:r>
          </w:p>
        </w:tc>
        <w:tc>
          <w:tcPr>
            <w:tcW w:type="dxa" w:w="6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Зачет</w:t>
            </w:r>
          </w:p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Понятие деловых коммуникаций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Управление общением в бизнес среде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тест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Навыки публичного общения в бизнесе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Самостоятельное изучение литературы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Искусство презентации в бизнес среде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Деловые переговоры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Бизнес корреспонденция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>Нетворкинг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2"/>
            </w:pPr>
            <w:r>
              <w:rPr>
                <w:rStyle w:val="Нет"/>
                <w:shd w:val="clear" w:color="auto" w:fill="ffffff"/>
                <w:rtl w:val="0"/>
                <w:lang w:val="ru-RU"/>
              </w:rPr>
              <w:t xml:space="preserve">Межкультурные особенности делового общения 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(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установление деловых контактов за рубежом</w:t>
            </w:r>
            <w:r>
              <w:rPr>
                <w:rStyle w:val="Нет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презентация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Итоговая аттестация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80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50</w:t>
            </w:r>
          </w:p>
        </w:tc>
        <w:tc>
          <w:tcPr>
            <w:tcW w:type="dxa" w:w="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line="264" w:lineRule="exact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sectPr>
          <w:headerReference w:type="default" r:id="rId6"/>
          <w:pgSz w:w="11900" w:h="16840" w:orient="portrait"/>
          <w:pgMar w:top="850" w:right="1134" w:bottom="1701" w:left="1134" w:header="708" w:footer="708"/>
          <w:bidi w:val="0"/>
        </w:sect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aps w:val="1"/>
        </w:rPr>
      </w:pPr>
      <w:r>
        <w:rPr>
          <w:caps w:val="1"/>
        </w:rPr>
      </w:r>
    </w:p>
    <w:sectPr>
      <w:head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Нет"/>
          <w:vertAlign w:val="superscript"/>
        </w:rPr>
        <w:footnoteRef/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 xml:space="preserve"> Сформированы в соответствии с федеральным государственным образовательного стандартом высшего образования программ бакалавриата по направлению подготовки 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 xml:space="preserve">38.03.02 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 xml:space="preserve">Менеджмент 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>(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>уровень бакалавриата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>) (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 xml:space="preserve">Приказ Минобрнауки России от 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 xml:space="preserve">12.01.2017 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>года №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 xml:space="preserve">7 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 xml:space="preserve">«Об утверждении федерального государственного образовательного стандарта высшего образования по направлению подготовки 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 xml:space="preserve">38.03.02 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 xml:space="preserve">Менеджмент 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>(</w:t>
      </w:r>
      <w:r>
        <w:rPr>
          <w:rStyle w:val="Нет"/>
          <w:rFonts w:cs="Arial Unicode MS" w:eastAsia="Arial Unicode MS" w:hint="default"/>
          <w:i w:val="1"/>
          <w:iCs w:val="1"/>
          <w:rtl w:val="0"/>
          <w:lang w:val="ru-RU"/>
        </w:rPr>
        <w:t>уровень бакалавриата</w:t>
      </w:r>
      <w:r>
        <w:rPr>
          <w:rStyle w:val="Нет"/>
          <w:rFonts w:cs="Arial Unicode MS" w:eastAsia="Arial Unicode MS"/>
          <w:i w:val="1"/>
          <w:iCs w:val="1"/>
          <w:rtl w:val="0"/>
          <w:lang w:val="ru-RU"/>
        </w:rPr>
        <w:t>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8" w:hanging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08"/>
          <w:tab w:val="left" w:pos="113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6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08"/>
          <w:tab w:val="left" w:pos="1134"/>
          <w:tab w:val="left" w:pos="2124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8" w:hanging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72" w:hanging="6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5"/>
  </w:abstractNum>
  <w:abstractNum w:abstractNumId="5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114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6"/>
  </w:abstractNum>
  <w:abstractNum w:abstractNumId="7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1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3"/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08"/>
            <w:tab w:val="left" w:pos="113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24" w:hanging="6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32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0" w:hanging="6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48" w:hanging="6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8" w:hanging="3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64" w:hanging="6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134"/>
            <w:tab w:val="left" w:pos="2124"/>
            <w:tab w:val="left" w:pos="2832"/>
            <w:tab w:val="left" w:pos="3540"/>
            <w:tab w:val="left" w:pos="4248"/>
            <w:tab w:val="left" w:pos="467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72" w:hanging="6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21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28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396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46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576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648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75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21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28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387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459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564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636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74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2100" w:after="0" w:line="259" w:lineRule="exac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rlito" w:cs="Arial Unicode MS" w:hAnsi="Carlito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character" w:styleId="Hyperlink.1">
    <w:name w:val="Hyperlink.1"/>
    <w:basedOn w:val="Нет"/>
    <w:next w:val="Hyperlink.1"/>
    <w:rPr>
      <w:lang w:val="en-US"/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Ссылка"/>
    <w:next w:val="Hyperlink.2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