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E5" w:rsidRPr="008F54BB" w:rsidRDefault="00F83AE5" w:rsidP="008F54BB">
      <w:pPr>
        <w:spacing w:after="0"/>
        <w:ind w:right="112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b/>
          <w:sz w:val="28"/>
          <w:szCs w:val="28"/>
          <w:lang w:val="be-BY"/>
        </w:rPr>
        <w:t>ОСНОВНЫЕ ТРЕНДЫ РАЗВИТИЯ ДОПОЛНИТЕЛЬНОГО ПРОФЕССИОНАЛЬНОГО ОБРАЗОВАНИЯ АПК В УСЛОВИЯХ ЦИФРОВИЗАЦИИ</w:t>
      </w:r>
      <w:r w:rsidR="00A5664E" w:rsidRPr="008F54B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5B4BC7" w:rsidRPr="000F690D" w:rsidRDefault="005B4BC7" w:rsidP="005B4BC7">
      <w:pPr>
        <w:spacing w:after="0"/>
        <w:ind w:right="11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F690D">
        <w:rPr>
          <w:rFonts w:ascii="Times New Roman" w:eastAsia="Calibri" w:hAnsi="Times New Roman" w:cs="Times New Roman"/>
          <w:sz w:val="28"/>
          <w:szCs w:val="28"/>
          <w:lang w:val="be-BY"/>
        </w:rPr>
        <w:t>Горкин А</w:t>
      </w:r>
      <w:r w:rsidRPr="000F69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лександр </w:t>
      </w:r>
      <w:r w:rsidRPr="000F690D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0F690D">
        <w:rPr>
          <w:rFonts w:ascii="Times New Roman" w:eastAsia="Calibri" w:hAnsi="Times New Roman" w:cs="Times New Roman"/>
          <w:sz w:val="28"/>
          <w:szCs w:val="28"/>
          <w:lang w:val="be-BY"/>
        </w:rPr>
        <w:t>ладимирович – аспирант Российской академии кадрового обеспечения АПК, Москва, Россия.</w:t>
      </w:r>
    </w:p>
    <w:p w:rsidR="000F690D" w:rsidRPr="000F690D" w:rsidRDefault="000F690D" w:rsidP="000F690D">
      <w:pPr>
        <w:spacing w:after="0"/>
        <w:ind w:right="11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Идрисов Алыпгач Нуритдинович </w:t>
      </w:r>
      <w:bookmarkStart w:id="0" w:name="_GoBack"/>
      <w:bookmarkEnd w:id="0"/>
      <w:r w:rsidRPr="000F690D">
        <w:rPr>
          <w:rFonts w:ascii="Times New Roman" w:eastAsia="Calibri" w:hAnsi="Times New Roman" w:cs="Times New Roman"/>
          <w:sz w:val="28"/>
          <w:szCs w:val="28"/>
          <w:lang w:val="be-BY"/>
        </w:rPr>
        <w:t>– аспирант Российской академии кадрового обеспечения АПК, Москва, Россия.</w:t>
      </w:r>
    </w:p>
    <w:p w:rsidR="000F690D" w:rsidRPr="008F54BB" w:rsidRDefault="000F690D" w:rsidP="005B4BC7">
      <w:pPr>
        <w:spacing w:after="0"/>
        <w:ind w:right="112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97F43" w:rsidRPr="008F54BB" w:rsidRDefault="00097F43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F690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Аннотация.</w:t>
      </w:r>
      <w:r w:rsidRPr="008F5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DDC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Стремительное распространение цифровых технологий, их глубокое проникновение во все сферы жизни, сильное и всесторонние влияние на социально-экономическое развитие, беспрецедентный масштаб тех изменений, которые они влекут за собой, а также неопределенность с возможными последствиями этого процесса привлекают к себе внимание и ученых-исследователей, и профессионалов государственного управления и предпринимательского сообщества. Одной из значимых проблем является потребность в кадрах, владеющих актуальными цифровыми компетенциями.</w:t>
      </w:r>
    </w:p>
    <w:p w:rsidR="00ED0DDC" w:rsidRPr="008F54BB" w:rsidRDefault="00ED0DDC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Целью работы является исследование основных тенденций трансформации аграрного дополнительного профессионального образования под необходимые условия формирования и развития новых компетенций для цифровой экономики, цифровых навыков и цифровой грамотности населения.</w:t>
      </w:r>
    </w:p>
    <w:p w:rsidR="008F54BB" w:rsidRPr="008F54BB" w:rsidRDefault="008F54B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Задачами работы явились:</w:t>
      </w:r>
    </w:p>
    <w:p w:rsidR="008F54BB" w:rsidRPr="008F54BB" w:rsidRDefault="008F54B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определение места России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 показателю вовлеченности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взрослого населения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 дополнительное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8F54BB" w:rsidRPr="008F54BB" w:rsidRDefault="008F54B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выявление о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сновной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причин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неучастия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населения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дополнительном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профессиональном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образовании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8F54BB" w:rsidRPr="008F54BB" w:rsidRDefault="008F54B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определение основных задач дополнительного профессионального образовани в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соответствии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программой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цифровой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экономики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Российской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Федерации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8F54BB" w:rsidRPr="008F54BB" w:rsidRDefault="008F54B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определение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направлений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формировани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профессиональных и управленческих компетенций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8F54BB" w:rsidRPr="008F54BB" w:rsidRDefault="008F54B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определение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направлений совершенствования базовых компетенций цифровой экономики, цифровых навыков;</w:t>
      </w:r>
    </w:p>
    <w:p w:rsidR="00D57AEB" w:rsidRDefault="008F54B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определение направлений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совершенствования компетенций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преподавател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="00D57AEB">
        <w:rPr>
          <w:rFonts w:ascii="Times New Roman" w:eastAsia="Calibri" w:hAnsi="Times New Roman" w:cs="Times New Roman"/>
          <w:sz w:val="28"/>
          <w:szCs w:val="28"/>
          <w:lang w:val="be-BY"/>
        </w:rPr>
        <w:t>й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области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образовательны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технологи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й.</w:t>
      </w:r>
    </w:p>
    <w:p w:rsidR="00D57AEB" w:rsidRDefault="00D57AE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Предметом исследования - </w:t>
      </w:r>
      <w:r w:rsidRPr="00D57AEB">
        <w:rPr>
          <w:rFonts w:ascii="Times New Roman" w:eastAsia="Calibri" w:hAnsi="Times New Roman" w:cs="Times New Roman"/>
          <w:sz w:val="28"/>
          <w:szCs w:val="28"/>
          <w:lang w:val="be-BY"/>
        </w:rPr>
        <w:t>тенденци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D57AE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трансформации аграрного дополнительного профессионального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 условиях цифровизации.</w:t>
      </w:r>
    </w:p>
    <w:p w:rsidR="008F54BB" w:rsidRDefault="00D57AE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Объект исследования -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аграрно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дополнительно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профессионально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е.</w:t>
      </w:r>
      <w:r w:rsidR="008F54BB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D57AEB" w:rsidRDefault="00D57AE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Гипотиза исследования – под влиянием процессов цифровизации отрасли АПК возникает потребность в трансформации дополнительного профессионального образования.</w:t>
      </w:r>
    </w:p>
    <w:p w:rsidR="00D57AEB" w:rsidRDefault="00D57AEB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Основные результаты – в ходе исследования были решены поставленные задачи, в том числе:</w:t>
      </w:r>
    </w:p>
    <w:p w:rsidR="00D57AEB" w:rsidRDefault="00D57AEB" w:rsidP="00D57AE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основны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дополнительного профессионального образовани</w:t>
      </w:r>
      <w:r w:rsidR="005B4BC7">
        <w:rPr>
          <w:rFonts w:ascii="Times New Roman" w:eastAsia="Calibri" w:hAnsi="Times New Roman" w:cs="Times New Roman"/>
          <w:sz w:val="28"/>
          <w:szCs w:val="28"/>
          <w:lang w:val="be-BY"/>
        </w:rPr>
        <w:t>я:</w:t>
      </w:r>
    </w:p>
    <w:p w:rsidR="005B4BC7" w:rsidRPr="008F54BB" w:rsidRDefault="005B4BC7" w:rsidP="005B4BC7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определение потребности в повышении квалификации и переподготовке руководителей и специалистов,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ключевых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сотрудников, дополнительных профессиональных программ;</w:t>
      </w:r>
    </w:p>
    <w:p w:rsidR="005B4BC7" w:rsidRPr="008F54BB" w:rsidRDefault="005B4BC7" w:rsidP="005B4BC7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эко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непрерывного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профессионального </w:t>
      </w:r>
      <w:r w:rsidRPr="008F54B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по формированию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базовых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цифровой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новых форматов и моделей образования в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партнерстве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бизнесом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7AEB" w:rsidRDefault="00D57AEB" w:rsidP="00D57AE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формирования профессиональных и управленческих компетенций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слушателей</w:t>
      </w:r>
      <w:r w:rsidR="005B4BC7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5B4BC7" w:rsidRPr="008F54BB" w:rsidRDefault="005B4BC7" w:rsidP="005B4BC7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-коммуникация и кооперация в цифровой среде, предполагающая решение жизненных и профессиональных задач в сотрудничестве со многими людьми посредством цифровых технологий;</w:t>
      </w:r>
    </w:p>
    <w:p w:rsidR="005B4BC7" w:rsidRPr="008F54BB" w:rsidRDefault="005B4BC7" w:rsidP="005B4BC7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-саморазвитие в условиях нового технологического уклада;</w:t>
      </w:r>
    </w:p>
    <w:p w:rsidR="005B4BC7" w:rsidRPr="008F54BB" w:rsidRDefault="005B4BC7" w:rsidP="005B4BC7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 -способность сознательно приобретать навыки и применять их для своего развития;</w:t>
      </w:r>
    </w:p>
    <w:p w:rsidR="005B4BC7" w:rsidRPr="008F54BB" w:rsidRDefault="005B4BC7" w:rsidP="005B4BC7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-креативное мышление, способность к инновациям, освоению новых знаний и извлечению пользы из полученных знаний для решения задач цифровой экономики;</w:t>
      </w:r>
    </w:p>
    <w:p w:rsidR="005B4BC7" w:rsidRPr="008F54BB" w:rsidRDefault="005B4BC7" w:rsidP="005B4BC7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-управление информацией и данными, способность искать нужные источники информации и данные, анализировать, обрабатывать информацию с использованием цифровых средств с целью эффективного её использования;</w:t>
      </w:r>
    </w:p>
    <w:p w:rsidR="005B4BC7" w:rsidRPr="008F54BB" w:rsidRDefault="005B4BC7" w:rsidP="005B4BC7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-критическое мышление в цифровой среде, способность независимо оценивать ценность и актуальность полученной информации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D57AEB" w:rsidRDefault="00D57AEB" w:rsidP="00D57AE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направлений совершенствования базовых компетенций цифровой экономики, цифровых навыков</w:t>
      </w:r>
      <w:r w:rsidR="005B4BC7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5B4BC7" w:rsidRPr="008F54BB" w:rsidRDefault="005B4BC7" w:rsidP="005B4BC7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разработка и реализация новых образовательных программ на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системного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цифровых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компетенциям цифровой экономики, проведение итоговой аттестации обучающихся с применением цифровых средств. При этом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что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2024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году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все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итоговой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 xml:space="preserve">будут проходить с использованием цифровых информационных технологий. </w:t>
      </w:r>
    </w:p>
    <w:p w:rsidR="005B4BC7" w:rsidRDefault="005B4BC7" w:rsidP="005B4BC7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к концу 2024 года должна быть обеспечена организация образовательного процесса по персональным траекториям обучающихся с учетом индивидуального профиля компетенций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7AEB" w:rsidRDefault="00D57AEB" w:rsidP="00D57AE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совершенствования компетенций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преподавател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й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области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образовательны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технологи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й</w:t>
      </w:r>
      <w:r w:rsidR="005B4BC7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5B4BC7" w:rsidRPr="008F54BB" w:rsidRDefault="005B4BC7" w:rsidP="005B4BC7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развитие дистанционных образовательных технологий;</w:t>
      </w:r>
    </w:p>
    <w:p w:rsidR="005B4BC7" w:rsidRPr="008F54BB" w:rsidRDefault="005B4BC7" w:rsidP="005B4BC7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практические и лабораторные занятия реализовывать в мини-группах, используя проектную форму практического обучения для решения реальных задач из области производства, бизнеса и разработки технологий;</w:t>
      </w:r>
    </w:p>
    <w:p w:rsidR="005B4BC7" w:rsidRDefault="005B4BC7" w:rsidP="005B4BC7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-  разрабатывать соответствующий данным технологиям методический материал, менять методику обучения, использовать новые подходы коммуникационного взаимодействия с обучающимися.</w:t>
      </w:r>
    </w:p>
    <w:p w:rsidR="009F088D" w:rsidRPr="008F54BB" w:rsidRDefault="009F088D" w:rsidP="005B4BC7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F690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Ключевые слова: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аграрно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дополнительно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профессионально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е,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компетенци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и,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ая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экономик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а, трансформация.</w:t>
      </w:r>
    </w:p>
    <w:p w:rsidR="00F83AE5" w:rsidRPr="008F54BB" w:rsidRDefault="009F088D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088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Введение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Внедрение современных информационных технологий во все сферы общественных отношений и производство обеспечивают повышение производительности труда,</w:t>
      </w:r>
      <w:r w:rsidR="00F83AE5"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качества</w:t>
      </w:r>
      <w:r w:rsidR="00F83AE5"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товаров</w:t>
      </w:r>
      <w:r w:rsidR="00F83AE5"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="00F83AE5"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услуг,</w:t>
      </w:r>
      <w:r w:rsidR="00F83AE5"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="00E50F48"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высокий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уровень</w:t>
      </w:r>
      <w:r w:rsidR="00F83AE5"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социально-экономического</w:t>
      </w:r>
      <w:r w:rsidR="00F83AE5"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развития</w:t>
      </w:r>
      <w:r w:rsidR="00F83AE5"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государства в условиях цифровизации экономики.</w:t>
      </w:r>
    </w:p>
    <w:p w:rsidR="00F83AE5" w:rsidRPr="008F54BB" w:rsidRDefault="00F83AE5" w:rsidP="008F54BB">
      <w:pPr>
        <w:spacing w:after="0" w:line="360" w:lineRule="auto"/>
        <w:ind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Цифровая экономика представляет собой хозяйственную деятельность, ключевым фактором производства в которой являются данные в цифровой форме, и способствует формированию информационного пространства с учетом потребностей граждан и общества в получении качественных и достоверных сведений, развитию информационной инфраструктуры страны, созданию и применению информационно-телекоммуникационных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технологий,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также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формированию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новой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технологической основы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для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социальной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экономической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сферы.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Для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эффективного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применения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современных</w:t>
      </w:r>
      <w:r w:rsidRPr="008F54BB">
        <w:rPr>
          <w:rFonts w:ascii="Times New Roman" w:eastAsia="Calibri" w:hAnsi="Times New Roman" w:cs="Times New Roman"/>
          <w:spacing w:val="4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ИТ</w:t>
      </w:r>
      <w:r w:rsidRPr="008F54BB">
        <w:rPr>
          <w:rFonts w:ascii="Times New Roman" w:eastAsia="Calibri" w:hAnsi="Times New Roman" w:cs="Times New Roman"/>
          <w:spacing w:val="4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необходимо</w:t>
      </w:r>
      <w:r w:rsidRPr="008F54BB">
        <w:rPr>
          <w:rFonts w:ascii="Times New Roman" w:eastAsia="Calibri" w:hAnsi="Times New Roman" w:cs="Times New Roman"/>
          <w:spacing w:val="40"/>
          <w:sz w:val="28"/>
          <w:szCs w:val="28"/>
          <w:lang w:val="be-BY"/>
        </w:rPr>
        <w:t xml:space="preserve"> 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обеспечить</w:t>
      </w:r>
      <w:r w:rsidRPr="008F54BB">
        <w:rPr>
          <w:rFonts w:ascii="Times New Roman" w:eastAsia="Calibri" w:hAnsi="Times New Roman" w:cs="Times New Roman"/>
          <w:spacing w:val="40"/>
          <w:sz w:val="28"/>
          <w:szCs w:val="28"/>
          <w:lang w:val="be-BY"/>
        </w:rPr>
        <w:t xml:space="preserve"> 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доступность</w:t>
      </w:r>
      <w:r w:rsidRPr="008F54BB">
        <w:rPr>
          <w:rFonts w:ascii="Times New Roman" w:eastAsia="Calibri" w:hAnsi="Times New Roman" w:cs="Times New Roman"/>
          <w:spacing w:val="40"/>
          <w:sz w:val="28"/>
          <w:szCs w:val="28"/>
          <w:lang w:val="be-BY"/>
        </w:rPr>
        <w:t xml:space="preserve"> 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40"/>
          <w:sz w:val="28"/>
          <w:szCs w:val="28"/>
          <w:lang w:val="be-BY"/>
        </w:rPr>
        <w:t xml:space="preserve"> 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оперативность</w:t>
      </w:r>
      <w:r w:rsidRPr="008F54BB">
        <w:rPr>
          <w:rFonts w:ascii="Times New Roman" w:eastAsia="Calibri" w:hAnsi="Times New Roman" w:cs="Times New Roman"/>
          <w:spacing w:val="40"/>
          <w:sz w:val="28"/>
          <w:szCs w:val="28"/>
          <w:lang w:val="be-BY"/>
        </w:rPr>
        <w:t xml:space="preserve"> 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повышения квалификации и профессиональной переподготовки руководителей и специалистов АПК, соответствующих требованиям цифровой экономики,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цифровой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грамотности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формирования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соответствующих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цифровых компетенций в условиях непрерывного образования.</w:t>
      </w:r>
    </w:p>
    <w:p w:rsidR="009F088D" w:rsidRDefault="009F088D" w:rsidP="009F088D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088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Методы и методологии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. 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>Источниками информации являлись базы данных Минсельхоза России, результаты социологических опросов, личные наблюдения.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>Методологической и теоретической основой исследования являются труды отечественных ученых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 вопросам 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совершенствования системы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дополнительного профессионального образования 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АПК. Для 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решения поставленных задач в работе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использовались абстракно-логический, аналитический,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экспертный методы исследования</w:t>
      </w:r>
      <w:r w:rsidR="00EC18E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83AE5" w:rsidRPr="008F54BB" w:rsidRDefault="009F088D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088D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Результаты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Развитие цифровой экономики в Российской Федерации требует трансформации национального рынка труда в агропромышленном комплексе, появления новых ИКТ-профессий</w:t>
      </w:r>
      <w:r w:rsidR="00E70B1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(аналитик данных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E70B1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трафик-менеджер, дизайнер интерфейсов, моделирование и управление промышленными манипуляторами, инт</w:t>
      </w:r>
      <w:r w:rsidR="0057682F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ерн</w:t>
      </w:r>
      <w:r w:rsidR="00E70B1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ет-маркетолог</w:t>
      </w:r>
      <w:r w:rsidR="0057682F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 многие другие),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увеличения доли специалистов в области ИТ, а также развития системы повышения квалификации и профессиональной переподготовки.</w:t>
      </w:r>
    </w:p>
    <w:p w:rsidR="00F83AE5" w:rsidRPr="008F54BB" w:rsidRDefault="00F83AE5" w:rsidP="008F54BB">
      <w:pPr>
        <w:spacing w:after="0" w:line="360" w:lineRule="auto"/>
        <w:ind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Анализ статистических данных свидетельствует не только о недостатке соответствующих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кадров,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но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недостаточном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развитии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рынка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труда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цифровизации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 недостатке самих ИКТ-профессий</w:t>
      </w:r>
      <w:r w:rsidR="00290B57" w:rsidRPr="008F54BB">
        <w:rPr>
          <w:rFonts w:ascii="Times New Roman" w:eastAsia="Calibri" w:hAnsi="Times New Roman" w:cs="Times New Roman"/>
          <w:sz w:val="28"/>
          <w:szCs w:val="28"/>
        </w:rPr>
        <w:t xml:space="preserve"> [1]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Именно поэтому одним из приоритетов развития цифровизации экономики в АПК Российской Федерации с целью подготовки соответствующих кадров к современным условиям производства и технологиям, является совершенствование системы дополнительного профессионального образования.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При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этом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уровень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охвата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специалистов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непрерывным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образованием,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степень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вовлеченности,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является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одним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из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ключевых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индикаторов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развития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человеческого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капитала,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уровня развития аграрной экономики и текущего экономического состояния</w:t>
      </w:r>
      <w:r w:rsidR="00290B57" w:rsidRPr="008F54BB">
        <w:rPr>
          <w:rFonts w:ascii="Times New Roman" w:eastAsia="Calibri" w:hAnsi="Times New Roman" w:cs="Times New Roman"/>
          <w:sz w:val="28"/>
          <w:szCs w:val="28"/>
        </w:rPr>
        <w:t xml:space="preserve"> [2]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. Согласно данным, Россия существенно отстает от большинства европейских стран по показателю вовлеченности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взрослого населения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 дополнительное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образование: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 28 странах Европы данный вид образования в среднем получали двое из пяти жителей в год,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тогда как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России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только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каждый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пятый, что говорит о существующей проблеме, связанной прежде всего с мотивацией к обучению и его содержанием</w:t>
      </w:r>
      <w:r w:rsidR="00290B57" w:rsidRPr="008F54BB">
        <w:rPr>
          <w:rFonts w:ascii="Times New Roman" w:eastAsia="Calibri" w:hAnsi="Times New Roman" w:cs="Times New Roman"/>
          <w:sz w:val="28"/>
          <w:szCs w:val="28"/>
        </w:rPr>
        <w:t xml:space="preserve"> [3]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83AE5" w:rsidRPr="008F54BB" w:rsidRDefault="00F83AE5" w:rsidP="008F54BB">
      <w:pPr>
        <w:spacing w:after="0" w:line="36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Основной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причиной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неучастия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населения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дополнительном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профессиональном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образовании</w:t>
      </w:r>
      <w:r w:rsidRPr="008F54BB">
        <w:rPr>
          <w:rFonts w:ascii="Times New Roman" w:eastAsia="Calibri" w:hAnsi="Times New Roman" w:cs="Times New Roman"/>
          <w:spacing w:val="6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является</w:t>
      </w:r>
      <w:r w:rsidRPr="008F54BB">
        <w:rPr>
          <w:rFonts w:ascii="Times New Roman" w:eastAsia="Calibri" w:hAnsi="Times New Roman" w:cs="Times New Roman"/>
          <w:spacing w:val="6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отсутствие</w:t>
      </w:r>
      <w:r w:rsidRPr="008F54BB">
        <w:rPr>
          <w:rFonts w:ascii="Times New Roman" w:eastAsia="Calibri" w:hAnsi="Times New Roman" w:cs="Times New Roman"/>
          <w:spacing w:val="6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сформированн</w:t>
      </w:r>
      <w:r w:rsidR="00293F2C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ой</w:t>
      </w:r>
      <w:r w:rsidRPr="008F54BB">
        <w:rPr>
          <w:rFonts w:ascii="Times New Roman" w:eastAsia="Calibri" w:hAnsi="Times New Roman" w:cs="Times New Roman"/>
          <w:spacing w:val="68"/>
          <w:sz w:val="28"/>
          <w:szCs w:val="28"/>
          <w:lang w:val="be-BY"/>
        </w:rPr>
        <w:t xml:space="preserve"> 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потребности</w:t>
      </w:r>
      <w:r w:rsidRPr="008F54BB">
        <w:rPr>
          <w:rFonts w:ascii="Times New Roman" w:eastAsia="Calibri" w:hAnsi="Times New Roman" w:cs="Times New Roman"/>
          <w:spacing w:val="6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69"/>
          <w:sz w:val="28"/>
          <w:szCs w:val="28"/>
          <w:lang w:val="be-BY"/>
        </w:rPr>
        <w:t xml:space="preserve"> 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получении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дополнительных знаний и навыков, связанных с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работой, профессиональными интересами</w:t>
      </w:r>
      <w:r w:rsidR="00293F2C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для общего развития</w:t>
      </w:r>
      <w:r w:rsidR="00290B57" w:rsidRPr="008F54BB">
        <w:rPr>
          <w:rFonts w:ascii="Times New Roman" w:eastAsia="Calibri" w:hAnsi="Times New Roman" w:cs="Times New Roman"/>
          <w:sz w:val="28"/>
          <w:szCs w:val="28"/>
        </w:rPr>
        <w:t xml:space="preserve"> [4]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. Именно поэтому развитие системы непрерывного образования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настоящее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время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должно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обеспечить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только совершенствование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имеющихся профессиональных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знаний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навыков,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связанных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внедрением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новых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технических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средств и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ИТ,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но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общих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комплементарных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цифровых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навыков,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которые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позволят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человеку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повысить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свою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цифровую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грамотность.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Согласно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программным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данным,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доля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населения, обладающего общими цифровыми навыками, должна достичь 40% к 2024 году</w:t>
      </w:r>
      <w:r w:rsidR="00E50F48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, т.е. всего через полтора года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83AE5" w:rsidRPr="008F54BB" w:rsidRDefault="00F83AE5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Динамика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участия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взрослого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населения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России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формальном,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дополнительном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профессиональном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образовании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самообразовании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протяжении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последних 10 лет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свидетельствует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существенном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повышении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активности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населения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период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="00E50F48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экономической турбулентности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="00E50F48"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>изменений на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рынк</w:t>
      </w:r>
      <w:r w:rsidR="00E50F48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труда, что в настоящее время стимулируется развитием цифровой экономики, реализацией программных задач и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мероприятий, и позволяет говорить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 ожидаемом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повышении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спроса на образовательные услуги данного вида образования в ближайшие годы</w:t>
      </w:r>
      <w:r w:rsidR="00290B57" w:rsidRPr="008F54BB">
        <w:rPr>
          <w:rFonts w:ascii="Times New Roman" w:eastAsia="Calibri" w:hAnsi="Times New Roman" w:cs="Times New Roman"/>
          <w:sz w:val="28"/>
          <w:szCs w:val="28"/>
        </w:rPr>
        <w:t xml:space="preserve"> [5]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83AE5" w:rsidRPr="008F54BB" w:rsidRDefault="00F83AE5" w:rsidP="008F54BB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соответствии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программой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цифровой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экономики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Российской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Федерации, система аграрного дополнительного профессионального образования трансформируется и совершенствуется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под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необходимые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условия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формирования</w:t>
      </w:r>
      <w:r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развития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новых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компетенций для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цифровой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экономики,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цифровых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навыков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цифровой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грамотности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населения,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обеспечивая постепенное достижение следующих  решений:</w:t>
      </w:r>
    </w:p>
    <w:p w:rsidR="00F83AE5" w:rsidRPr="008F54BB" w:rsidRDefault="00F83AE5" w:rsidP="008F54BB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определение потребности в повышении квалификации и переподготовке руководителей и специалистов,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ключевых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сотрудников, дополнительных профессиональных программ;</w:t>
      </w:r>
    </w:p>
    <w:p w:rsidR="00F83AE5" w:rsidRPr="008F54BB" w:rsidRDefault="00F83AE5" w:rsidP="008F54BB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эко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непрерывного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профессионального </w:t>
      </w:r>
      <w:r w:rsidRPr="008F54B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по формированию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базовых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цифровой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новых форматов и моделей образования в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партнерстве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бизнесом.</w:t>
      </w:r>
    </w:p>
    <w:p w:rsidR="00856FBB" w:rsidRPr="008F54BB" w:rsidRDefault="00F83AE5" w:rsidP="008F54BB">
      <w:pPr>
        <w:pStyle w:val="a3"/>
        <w:spacing w:line="360" w:lineRule="auto"/>
        <w:ind w:left="0" w:right="83" w:firstLine="709"/>
        <w:rPr>
          <w:sz w:val="28"/>
          <w:szCs w:val="28"/>
        </w:rPr>
      </w:pPr>
      <w:r w:rsidRPr="008F54BB">
        <w:rPr>
          <w:rFonts w:eastAsia="Calibri"/>
          <w:sz w:val="28"/>
          <w:szCs w:val="28"/>
          <w:lang w:val="be-BY"/>
        </w:rPr>
        <w:lastRenderedPageBreak/>
        <w:t>Представленные решения по трансформации системы дополнительного профессионального образования направлены на расширение</w:t>
      </w:r>
      <w:r w:rsidRPr="008F54BB">
        <w:rPr>
          <w:rFonts w:eastAsia="Calibri"/>
          <w:spacing w:val="-3"/>
          <w:sz w:val="28"/>
          <w:szCs w:val="28"/>
          <w:lang w:val="be-BY"/>
        </w:rPr>
        <w:t xml:space="preserve"> </w:t>
      </w:r>
      <w:r w:rsidRPr="008F54BB">
        <w:rPr>
          <w:rFonts w:eastAsia="Calibri"/>
          <w:sz w:val="28"/>
          <w:szCs w:val="28"/>
          <w:lang w:val="be-BY"/>
        </w:rPr>
        <w:t>доступности и качества данного</w:t>
      </w:r>
      <w:r w:rsidRPr="008F54BB">
        <w:rPr>
          <w:rFonts w:eastAsia="Calibri"/>
          <w:spacing w:val="-2"/>
          <w:sz w:val="28"/>
          <w:szCs w:val="28"/>
          <w:lang w:val="be-BY"/>
        </w:rPr>
        <w:t xml:space="preserve"> </w:t>
      </w:r>
      <w:r w:rsidRPr="008F54BB">
        <w:rPr>
          <w:rFonts w:eastAsia="Calibri"/>
          <w:sz w:val="28"/>
          <w:szCs w:val="28"/>
          <w:lang w:val="be-BY"/>
        </w:rPr>
        <w:t>вида</w:t>
      </w:r>
      <w:r w:rsidRPr="008F54BB">
        <w:rPr>
          <w:rFonts w:eastAsia="Calibri"/>
          <w:spacing w:val="-3"/>
          <w:sz w:val="28"/>
          <w:szCs w:val="28"/>
          <w:lang w:val="be-BY"/>
        </w:rPr>
        <w:t xml:space="preserve"> </w:t>
      </w:r>
      <w:r w:rsidRPr="008F54BB">
        <w:rPr>
          <w:rFonts w:eastAsia="Calibri"/>
          <w:sz w:val="28"/>
          <w:szCs w:val="28"/>
          <w:lang w:val="be-BY"/>
        </w:rPr>
        <w:t xml:space="preserve">образования. </w:t>
      </w:r>
      <w:r w:rsidR="00856FBB" w:rsidRPr="008F54BB">
        <w:rPr>
          <w:sz w:val="28"/>
          <w:szCs w:val="28"/>
        </w:rPr>
        <w:t>Информационное общество диктует необходимость изменения форматов и технологий подготовки специалиста</w:t>
      </w:r>
      <w:r w:rsidR="00290B57" w:rsidRPr="008F54BB">
        <w:rPr>
          <w:sz w:val="28"/>
          <w:szCs w:val="28"/>
        </w:rPr>
        <w:t xml:space="preserve"> [6]</w:t>
      </w:r>
      <w:r w:rsidR="00856FBB" w:rsidRPr="008F54BB">
        <w:rPr>
          <w:sz w:val="28"/>
          <w:szCs w:val="28"/>
        </w:rPr>
        <w:t>. Если в индустриальном обществе технологические изменения происходили через десятилетия, то в современных условиях период</w:t>
      </w:r>
      <w:r w:rsidR="00856FBB" w:rsidRPr="008F54BB">
        <w:rPr>
          <w:spacing w:val="1"/>
          <w:sz w:val="28"/>
          <w:szCs w:val="28"/>
        </w:rPr>
        <w:t xml:space="preserve"> </w:t>
      </w:r>
      <w:r w:rsidR="00856FBB" w:rsidRPr="008F54BB">
        <w:rPr>
          <w:sz w:val="28"/>
          <w:szCs w:val="28"/>
        </w:rPr>
        <w:t>обновления знаний, воплощенных в технике и технологиях, сократился до одного-двух лет.</w:t>
      </w:r>
      <w:r w:rsidR="00856FBB" w:rsidRPr="008F54BB">
        <w:rPr>
          <w:spacing w:val="1"/>
          <w:sz w:val="28"/>
          <w:szCs w:val="28"/>
        </w:rPr>
        <w:t xml:space="preserve"> </w:t>
      </w:r>
      <w:r w:rsidR="00856FBB" w:rsidRPr="008F54BB">
        <w:rPr>
          <w:sz w:val="28"/>
          <w:szCs w:val="28"/>
        </w:rPr>
        <w:t>Изменения касаются и самого знания, и способов его передачи</w:t>
      </w:r>
      <w:r w:rsidR="00290B57" w:rsidRPr="008F54BB">
        <w:rPr>
          <w:sz w:val="28"/>
          <w:szCs w:val="28"/>
        </w:rPr>
        <w:t xml:space="preserve"> [7]</w:t>
      </w:r>
      <w:r w:rsidR="00856FBB" w:rsidRPr="008F54BB">
        <w:rPr>
          <w:sz w:val="28"/>
          <w:szCs w:val="28"/>
        </w:rPr>
        <w:t xml:space="preserve">. Поэтому требуются новые технологии обучения, связанные с необходимостью формирования нового мышления специалиста, обладающего </w:t>
      </w:r>
      <w:proofErr w:type="gramStart"/>
      <w:r w:rsidR="00856FBB" w:rsidRPr="008F54BB">
        <w:rPr>
          <w:sz w:val="28"/>
          <w:szCs w:val="28"/>
        </w:rPr>
        <w:t>широкими</w:t>
      </w:r>
      <w:proofErr w:type="gramEnd"/>
      <w:r w:rsidR="00856FBB" w:rsidRPr="008F54BB">
        <w:rPr>
          <w:sz w:val="28"/>
          <w:szCs w:val="28"/>
        </w:rPr>
        <w:t xml:space="preserve"> </w:t>
      </w:r>
      <w:proofErr w:type="spellStart"/>
      <w:r w:rsidR="00856FBB" w:rsidRPr="008F54BB">
        <w:rPr>
          <w:sz w:val="28"/>
          <w:szCs w:val="28"/>
        </w:rPr>
        <w:t>метакомпетенциями</w:t>
      </w:r>
      <w:proofErr w:type="spellEnd"/>
      <w:r w:rsidR="00856FBB" w:rsidRPr="008F54BB">
        <w:rPr>
          <w:sz w:val="28"/>
          <w:szCs w:val="28"/>
        </w:rPr>
        <w:t>.</w:t>
      </w:r>
      <w:r w:rsidR="00856FBB" w:rsidRPr="008F54BB">
        <w:rPr>
          <w:spacing w:val="1"/>
          <w:sz w:val="28"/>
          <w:szCs w:val="28"/>
        </w:rPr>
        <w:t xml:space="preserve"> </w:t>
      </w:r>
      <w:r w:rsidR="00856FBB" w:rsidRPr="008F54BB">
        <w:rPr>
          <w:sz w:val="28"/>
          <w:szCs w:val="28"/>
        </w:rPr>
        <w:t>Если «стабильное»</w:t>
      </w:r>
      <w:r w:rsidR="00856FBB" w:rsidRPr="008F54BB">
        <w:rPr>
          <w:spacing w:val="-52"/>
          <w:sz w:val="28"/>
          <w:szCs w:val="28"/>
        </w:rPr>
        <w:t xml:space="preserve"> </w:t>
      </w:r>
      <w:r w:rsidR="00856FBB" w:rsidRPr="008F54BB">
        <w:rPr>
          <w:sz w:val="28"/>
          <w:szCs w:val="28"/>
        </w:rPr>
        <w:t>знание можно было транслировать обучаемому как пассивному участнику</w:t>
      </w:r>
      <w:r w:rsidR="00856FBB" w:rsidRPr="008F54BB">
        <w:rPr>
          <w:spacing w:val="1"/>
          <w:sz w:val="28"/>
          <w:szCs w:val="28"/>
        </w:rPr>
        <w:t xml:space="preserve"> </w:t>
      </w:r>
      <w:r w:rsidR="00856FBB" w:rsidRPr="008F54BB">
        <w:rPr>
          <w:sz w:val="28"/>
          <w:szCs w:val="28"/>
        </w:rPr>
        <w:t xml:space="preserve">взаимодействия, то в настоящее время освоение знания возможно на основе </w:t>
      </w:r>
      <w:proofErr w:type="spellStart"/>
      <w:r w:rsidR="00856FBB" w:rsidRPr="008F54BB">
        <w:rPr>
          <w:sz w:val="28"/>
          <w:szCs w:val="28"/>
        </w:rPr>
        <w:t>партисипативного</w:t>
      </w:r>
      <w:proofErr w:type="spellEnd"/>
      <w:r w:rsidR="00856FBB" w:rsidRPr="008F54BB">
        <w:rPr>
          <w:sz w:val="28"/>
          <w:szCs w:val="28"/>
        </w:rPr>
        <w:t xml:space="preserve"> взаимодействия преподавателя и слушателя, перехода от парадигмы </w:t>
      </w:r>
      <w:proofErr w:type="gramStart"/>
      <w:r w:rsidR="00856FBB" w:rsidRPr="008F54BB">
        <w:rPr>
          <w:sz w:val="28"/>
          <w:szCs w:val="28"/>
        </w:rPr>
        <w:t>субъект-объектного</w:t>
      </w:r>
      <w:proofErr w:type="gramEnd"/>
      <w:r w:rsidR="00856FBB" w:rsidRPr="008F54BB">
        <w:rPr>
          <w:sz w:val="28"/>
          <w:szCs w:val="28"/>
        </w:rPr>
        <w:t xml:space="preserve"> обучения к субъект-субъектной, формирования нового образовательного цифрового уклада. </w:t>
      </w:r>
    </w:p>
    <w:p w:rsidR="00093BCC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Новый тип специалиста-менеджера должен легко адаптироваться к изменениям в области информационных технологий, способов ведения бизнеса в меняющихся условиях, понимать проблемы и извлекать преимущества за счет появившихся возможностей цифровизации производства</w:t>
      </w:r>
      <w:r w:rsidR="00290B57" w:rsidRPr="008F54BB">
        <w:rPr>
          <w:rFonts w:ascii="Times New Roman" w:eastAsia="Calibri" w:hAnsi="Times New Roman" w:cs="Times New Roman"/>
          <w:sz w:val="28"/>
          <w:szCs w:val="28"/>
        </w:rPr>
        <w:t xml:space="preserve"> [8]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. Поэтому в процессе дополнительного профессионального образования актуально формирование профессиональных и управленческих компетенций в условиях цифровизации экономики, предусматривающих следующие блоки:</w:t>
      </w:r>
      <w:r w:rsidR="00A5664E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-коммуникация и кооперация в цифровой среде, предполагающая решение жизненных и профессиональных задач в сотрудничестве со многими людьми посредством цифровых технологий;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-саморазвитие в условиях нового технологического уклада;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 -способность сознательно приобретать навыки и применять их для своего развития;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-креативное мышление, способность к инновациям, освоению новых знаний и извлечению пользы из полученных знаний для решения задач цифровой экономики;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-управление информацией и данными, способность искать нужные источники информации и данные, анализировать, обрабатывать информацию с использованием цифровых средств с целью эффективного её использования;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-критическое мышление в цифровой среде, способность независимо оценивать ценность и актуальность полученной информации.</w:t>
      </w:r>
    </w:p>
    <w:p w:rsidR="00093BCC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Цифровизация дополнительного профессионального образования – многоплановая деятельность, предусматривающая:</w:t>
      </w:r>
      <w:r w:rsidR="00A5664E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развитие цифровой инфраструктуры основных подразделений образовательных организаций;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подготовку цифровых учебно-методических материалов, инструментов и сервисов; 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разработку и распространение новых моделей организации учебного процесса;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осуществление поисковых и прикладных научно-исследовательских работ.</w:t>
      </w:r>
    </w:p>
    <w:p w:rsidR="00F83AE5" w:rsidRPr="008F54BB" w:rsidRDefault="00F83AE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Использование цифровых технологий в учебном процессе должно сопровождаться переходом к персонализации обучения, широким применением вебинаров, видеолекций, воркшопов</w:t>
      </w:r>
      <w:r w:rsidR="0057682F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(о</w:t>
      </w:r>
      <w:proofErr w:type="spellStart"/>
      <w:r w:rsidR="0057682F" w:rsidRPr="008F54BB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бучающее</w:t>
      </w:r>
      <w:proofErr w:type="spellEnd"/>
      <w:r w:rsidR="0057682F" w:rsidRPr="008F5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мероприятие, в котором упор делается на практическую работу)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, геймификации, чат-ботов, дополненной реальности, хакатонов</w:t>
      </w:r>
      <w:r w:rsidR="0057682F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(соревнование, в котором командам нужно за короткое время разработать прототип продукта  для решения определенной проблемы, с которой столкнулся бизнес-заказчик)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 других игровых и соревновательные форм создания индивидуальных траекторий обучения, рассчитанных на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умственное, физическое и психо-эмоциональное развитие обучающихся. Разработка модели персонализированного обучения и методов его результативного распространения является одним из магистральных направлений цифровой трансформации образования.</w:t>
      </w:r>
    </w:p>
    <w:p w:rsidR="00E70B15" w:rsidRPr="008F54BB" w:rsidRDefault="00E70B15" w:rsidP="008F54BB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 условиях становления цифровой экономики особые требования предъявляется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системе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непрерывного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образования ППС,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направленного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на повышение квалификации и профессиональную переподготовку педагогических кадров.</w:t>
      </w:r>
    </w:p>
    <w:p w:rsidR="00F83AE5" w:rsidRPr="008F54BB" w:rsidRDefault="00F83AE5" w:rsidP="008F54BB">
      <w:pPr>
        <w:spacing w:after="0" w:line="360" w:lineRule="auto"/>
        <w:ind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Необходима разработка новых программ повышения квалификации, профессиональной переподготовки, непрерывного профессионального развития профессорско-педагогических кадров, обеспечивающих их готовность реализовывать современные модели образовательного процесса с учетом требований цифровой экономики. </w:t>
      </w:r>
    </w:p>
    <w:p w:rsidR="00F83AE5" w:rsidRPr="008F54BB" w:rsidRDefault="00F83AE5" w:rsidP="008F54BB">
      <w:pPr>
        <w:spacing w:after="0" w:line="360" w:lineRule="auto"/>
        <w:ind w:right="109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Направления повышения квалификации и профессиональной переподготовки профессорско-педаго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гических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кадров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должны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быть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тесно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связаны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основными направлениями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трансформации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АПК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>совершенствования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>базовых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>компетенций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>цифровой экономики,</w:t>
      </w:r>
      <w:r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>цифровых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>навыков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F83AE5" w:rsidRPr="008F54BB" w:rsidRDefault="00F83AE5" w:rsidP="008F54BB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разработка и реализация новых образовательных программ на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системного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цифровых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компетенциям цифровой экономики, проведение итоговой аттестации обучающихся с применением цифровых средств. При этом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что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2024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году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все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итоговой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 xml:space="preserve">будут проходить с использованием цифровых информационных технологий. </w:t>
      </w:r>
    </w:p>
    <w:p w:rsidR="00F83AE5" w:rsidRPr="008F54BB" w:rsidRDefault="00F83AE5" w:rsidP="008F54BB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F54BB">
        <w:rPr>
          <w:rFonts w:ascii="Times New Roman" w:eastAsia="Calibri" w:hAnsi="Times New Roman" w:cs="Times New Roman"/>
          <w:sz w:val="28"/>
          <w:szCs w:val="28"/>
        </w:rPr>
        <w:t xml:space="preserve"> концу 2024 года</w:t>
      </w:r>
      <w:r w:rsidR="00856FBB" w:rsidRPr="008F54BB">
        <w:rPr>
          <w:rFonts w:ascii="Times New Roman" w:eastAsia="Calibri" w:hAnsi="Times New Roman" w:cs="Times New Roman"/>
          <w:sz w:val="28"/>
          <w:szCs w:val="28"/>
        </w:rPr>
        <w:t xml:space="preserve"> должна быть обеспечена</w:t>
      </w:r>
      <w:r w:rsidRPr="008F54BB">
        <w:rPr>
          <w:rFonts w:ascii="Times New Roman" w:eastAsia="Calibri" w:hAnsi="Times New Roman" w:cs="Times New Roman"/>
          <w:sz w:val="28"/>
          <w:szCs w:val="28"/>
        </w:rPr>
        <w:t xml:space="preserve"> организация образовательного процесса по персональным траекториям обучающихся с учетом индивидуального профиля компетенций. 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Для формирования у слушателей цифровых компетенций, требуемых в эпоху цифровой экономики, преподаватели должны освоить следующие образовательные технологии и подходы:</w:t>
      </w:r>
      <w:r w:rsidR="00A5664E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развитие дистанционных образовательных технологий;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практические и лабораторные занятия реализовывать в мини-группах, используя проектную форму практического обучения для решения реальных задач из области производства, бизнеса и разработки технологий;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 разрабатывать соответствующий данным технологиям методический материал, менять методику обучения, использовать новые подходы коммуникационного взаимодействия с обучающимися.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Важной задачей при переходе на цифровые технологии в образовании является корректировка и разработка учебных программ и цифровых учебно-методических комплексов для слушателей. При разработке учебных программ и учебно-методических пособий для цифровых технологий дополнительного профессионального образования следует ориентироваться не столько на материалы базовых учебников, сколько на результаты эффективных организаций АПК, определенных на основе разработанных в установленном порядке критериев, завершенные и проверенные практикой научные исследования, действующие нормативные правовые документы, отечественный и зарубежный опыт.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Актуализация образовательных программ должна включать в образовательный процесс блоки, ориентированные на применение цифровых технологий, искусственного интеллекта, искусственных нейронных сетей, реинжиниринг, повышение производительности труда, роботизацию и автоматизацию производства и иных бизнес-процессов.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При этом, необходимы систематическая последующая поддержка и развитие цифровых учебно-методических комплексов:</w:t>
      </w:r>
      <w:r w:rsidR="00A5664E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постоянное пополнение образовательного, методического и информационного контента;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- непрерывное обновление и совершенствование используемых педагогических технологий; 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включение в образовательный процесс новых эффективных цифровых методических решений (дополненной и смешанной виртуальной реальности, облачных технологий, виртуальных лабораторий и т.д.).</w:t>
      </w:r>
    </w:p>
    <w:p w:rsidR="00F83AE5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Внедрение новых образовательных технологий в существующую образовательную среду необходимо проводить последовательно. В каждой образовательной организации должен быть составлен подробный план действий, с которым следует ознакомить весь профессорско-преподавательский состава, административно-управленческий и учебно-вспомогательный персонал, выработать четкий документ, в котором указать сроки и правила перехода на новые цифровые технологии. </w:t>
      </w:r>
    </w:p>
    <w:p w:rsidR="00F83AE5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Важным является разработка стандартов организаций и стандартизации основных видов деятельности на основе цифровых решений.</w:t>
      </w:r>
    </w:p>
    <w:p w:rsidR="000F690D" w:rsidRDefault="00EC18E8" w:rsidP="000F690D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C18E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Обсуждение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="000F690D" w:rsidRPr="000F69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F690D">
        <w:rPr>
          <w:rFonts w:ascii="Times New Roman" w:eastAsia="Calibri" w:hAnsi="Times New Roman" w:cs="Times New Roman"/>
          <w:sz w:val="28"/>
          <w:szCs w:val="28"/>
          <w:lang w:val="be-BY"/>
        </w:rPr>
        <w:t>Гипотиза исследования</w:t>
      </w:r>
      <w:r w:rsidR="000F69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 том, что</w:t>
      </w:r>
      <w:r w:rsidR="000F69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под влиянием процессов цифровизации отрасли АПК возникает потребность в трансформации дополнительного профессионального образования</w:t>
      </w:r>
      <w:r w:rsidR="000F690D">
        <w:rPr>
          <w:rFonts w:ascii="Times New Roman" w:eastAsia="Calibri" w:hAnsi="Times New Roman" w:cs="Times New Roman"/>
          <w:sz w:val="28"/>
          <w:szCs w:val="28"/>
          <w:lang w:val="be-BY"/>
        </w:rPr>
        <w:t>, была подтверждена в ходе работы</w:t>
      </w:r>
      <w:r w:rsidR="000F690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0F690D" w:rsidRDefault="000F690D" w:rsidP="000F690D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исследовани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были решены поставленные задачи, в том числе:</w:t>
      </w:r>
    </w:p>
    <w:p w:rsidR="000F690D" w:rsidRDefault="000F690D" w:rsidP="000F690D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основны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дополнительного профессионального образовани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я:</w:t>
      </w:r>
    </w:p>
    <w:p w:rsidR="000F690D" w:rsidRPr="008F54BB" w:rsidRDefault="000F690D" w:rsidP="000F690D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определение потребности в повышении квалификации и переподготовке руководителей и специалистов,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ключевых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сотрудников, дополнительных профессиональных программ;</w:t>
      </w:r>
    </w:p>
    <w:p w:rsidR="000F690D" w:rsidRPr="008F54BB" w:rsidRDefault="000F690D" w:rsidP="000F690D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эко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непрерывного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профессионального </w:t>
      </w:r>
      <w:r w:rsidRPr="008F54B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по формированию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базовых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цифровой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8F54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новых форматов и моделей образования в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партнерстве</w:t>
      </w:r>
      <w:r w:rsidRPr="008F54B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</w:t>
      </w:r>
      <w:r w:rsidRPr="008F54B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бизнесом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90D" w:rsidRDefault="000F690D" w:rsidP="000F690D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формирования профессиональных и управленческих компетенций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слушателей:</w:t>
      </w:r>
    </w:p>
    <w:p w:rsidR="000F690D" w:rsidRPr="008F54BB" w:rsidRDefault="000F690D" w:rsidP="000F690D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-коммуникация и кооперация в цифровой среде, предполагающая решение жизненных и профессиональных задач в сотрудничестве со многими людьми посредством цифровых технологий;</w:t>
      </w:r>
    </w:p>
    <w:p w:rsidR="000F690D" w:rsidRPr="008F54BB" w:rsidRDefault="000F690D" w:rsidP="000F690D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-саморазвитие в условиях нового технологического уклада;</w:t>
      </w:r>
    </w:p>
    <w:p w:rsidR="000F690D" w:rsidRPr="008F54BB" w:rsidRDefault="000F690D" w:rsidP="000F690D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-способность сознательно приобретать навыки и применять их для своего развития;</w:t>
      </w:r>
    </w:p>
    <w:p w:rsidR="000F690D" w:rsidRPr="008F54BB" w:rsidRDefault="000F690D" w:rsidP="000F690D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-креативное мышление, способность к инновациям, освоению новых знаний и извлечению пользы из полученных знаний для решения задач цифровой экономики;</w:t>
      </w:r>
    </w:p>
    <w:p w:rsidR="000F690D" w:rsidRPr="008F54BB" w:rsidRDefault="000F690D" w:rsidP="000F690D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-управление информацией и данными, способность искать нужные источники информации и данные, анализировать, обрабатывать информацию с использованием цифровых средств с целью эффективного её использования;</w:t>
      </w:r>
    </w:p>
    <w:p w:rsidR="000F690D" w:rsidRPr="008F54BB" w:rsidRDefault="000F690D" w:rsidP="000F690D">
      <w:pPr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-критическое мышление в цифровой среде, способность независимо оценивать ценность и актуальность полученной информации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0F690D" w:rsidRDefault="000F690D" w:rsidP="000F690D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направлений совершенствования базовых компетенций цифровой экономики, цифровых навыков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0F690D" w:rsidRPr="008F54BB" w:rsidRDefault="000F690D" w:rsidP="000F690D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4BB">
        <w:rPr>
          <w:rFonts w:ascii="Times New Roman" w:eastAsia="Calibri" w:hAnsi="Times New Roman" w:cs="Times New Roman"/>
          <w:sz w:val="28"/>
          <w:szCs w:val="28"/>
        </w:rPr>
        <w:t>разработка и реализация новых образовательных программ на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системного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цифровых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с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r w:rsidRPr="008F54B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компетенциям цифровой экономики, проведение итоговой аттестации обучающихся с применением цифровых средств. При этом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что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2024</w:t>
      </w:r>
      <w:r w:rsidRPr="008F54B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году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все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итоговой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</w:rPr>
        <w:t xml:space="preserve">будут проходить с использованием цифровых информационных технологий. </w:t>
      </w:r>
    </w:p>
    <w:p w:rsidR="000F690D" w:rsidRDefault="000F690D" w:rsidP="000F690D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after="0" w:line="360" w:lineRule="auto"/>
        <w:ind w:right="1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54B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F54BB">
        <w:rPr>
          <w:rFonts w:ascii="Times New Roman" w:eastAsia="Calibri" w:hAnsi="Times New Roman" w:cs="Times New Roman"/>
          <w:sz w:val="28"/>
          <w:szCs w:val="28"/>
        </w:rPr>
        <w:t xml:space="preserve"> концу 2024 года должна быть обеспечена организация образовательного процесса по персональным траекториям обучающихся с учетом индивидуального профиля компетенций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90D" w:rsidRDefault="000F690D" w:rsidP="000F690D">
      <w:pPr>
        <w:spacing w:after="0" w:line="360" w:lineRule="auto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определен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совершенствования компетенций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преподавател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ей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области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образовательны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технологи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й:</w:t>
      </w:r>
    </w:p>
    <w:p w:rsidR="000F690D" w:rsidRPr="008F54BB" w:rsidRDefault="000F690D" w:rsidP="000F690D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развитие дистанционных образовательных технологий;</w:t>
      </w:r>
    </w:p>
    <w:p w:rsidR="000F690D" w:rsidRPr="008F54BB" w:rsidRDefault="000F690D" w:rsidP="000F690D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- практические и лабораторные занятия реализовывать в мини-группах, используя проектную форму практического обучения для решения реальных задач из области производства, бизнеса и разработки технологий;</w:t>
      </w:r>
    </w:p>
    <w:p w:rsidR="000F690D" w:rsidRDefault="000F690D" w:rsidP="000F690D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-  разрабатывать соответствующий данным технологиям методический материал, менять методику обучения, использовать новые подходы коммуникационного взаимодействия с обучающимися.</w:t>
      </w:r>
    </w:p>
    <w:p w:rsidR="00F83AE5" w:rsidRPr="008F54BB" w:rsidRDefault="009F088D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F088D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Заключение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Pr="009F08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Своевременная</w:t>
      </w:r>
      <w:r w:rsidR="00F83AE5"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реализация</w:t>
      </w:r>
      <w:r w:rsidR="00F83AE5"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поставленных</w:t>
      </w:r>
      <w:r w:rsidR="00F83AE5"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перед</w:t>
      </w:r>
      <w:r w:rsidR="00F83AE5"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системой</w:t>
      </w:r>
      <w:r w:rsidR="00F83AE5" w:rsidRPr="008F54BB">
        <w:rPr>
          <w:rFonts w:ascii="Times New Roman" w:eastAsia="Calibri" w:hAnsi="Times New Roman" w:cs="Times New Roman"/>
          <w:spacing w:val="-13"/>
          <w:sz w:val="28"/>
          <w:szCs w:val="28"/>
          <w:lang w:val="be-BY"/>
        </w:rPr>
        <w:t xml:space="preserve"> аграрного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дополнительного</w:t>
      </w:r>
      <w:r w:rsidR="00F83AE5" w:rsidRPr="008F54BB">
        <w:rPr>
          <w:rFonts w:ascii="Times New Roman" w:eastAsia="Calibri" w:hAnsi="Times New Roman" w:cs="Times New Roman"/>
          <w:spacing w:val="-12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профессионального образования задач, привлечение бизнеса, а также развитие цифровизации и внедрение современных ИТ, обеспечит повышение качества формирования цифровых навыков, соответствующей</w:t>
      </w:r>
      <w:r w:rsidR="00F83AE5"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подготовки</w:t>
      </w:r>
      <w:r w:rsidR="00F83AE5" w:rsidRPr="008F54BB">
        <w:rPr>
          <w:rFonts w:ascii="Times New Roman" w:eastAsia="Calibri" w:hAnsi="Times New Roman" w:cs="Times New Roman"/>
          <w:spacing w:val="-1"/>
          <w:sz w:val="28"/>
          <w:szCs w:val="28"/>
          <w:lang w:val="be-BY"/>
        </w:rPr>
        <w:t xml:space="preserve"> </w:t>
      </w:r>
      <w:r w:rsidR="00F83AE5"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профессиональных кадров и формирования компетенций для цифровой экономики. </w:t>
      </w:r>
    </w:p>
    <w:p w:rsidR="00093BCC" w:rsidRPr="008F54BB" w:rsidRDefault="00F83AE5" w:rsidP="008F54BB">
      <w:pPr>
        <w:tabs>
          <w:tab w:val="left" w:pos="965"/>
        </w:tabs>
        <w:spacing w:after="0" w:line="360" w:lineRule="auto"/>
        <w:ind w:left="-171" w:right="11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Реализация актуальных направлений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тем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повышения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квалификации,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профессиональной</w:t>
      </w:r>
      <w:r w:rsidRPr="008F54BB">
        <w:rPr>
          <w:rFonts w:ascii="Times New Roman" w:eastAsia="Calibri" w:hAnsi="Times New Roman" w:cs="Times New Roman"/>
          <w:spacing w:val="-7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переподготовки</w:t>
      </w:r>
      <w:r w:rsidRPr="008F54BB">
        <w:rPr>
          <w:rFonts w:ascii="Times New Roman" w:eastAsia="Calibri" w:hAnsi="Times New Roman" w:cs="Times New Roman"/>
          <w:spacing w:val="-8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8F54BB">
        <w:rPr>
          <w:rFonts w:ascii="Times New Roman" w:eastAsia="Calibri" w:hAnsi="Times New Roman" w:cs="Times New Roman"/>
          <w:spacing w:val="-9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системе</w:t>
      </w:r>
      <w:r w:rsidRPr="008F54BB">
        <w:rPr>
          <w:rFonts w:ascii="Times New Roman" w:eastAsia="Calibri" w:hAnsi="Times New Roman" w:cs="Times New Roman"/>
          <w:spacing w:val="-10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непрерывного</w:t>
      </w:r>
      <w:r w:rsidRPr="008F54BB"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образования</w:t>
      </w:r>
      <w:r w:rsidRPr="008F54BB">
        <w:rPr>
          <w:rFonts w:ascii="Times New Roman" w:eastAsia="Calibri" w:hAnsi="Times New Roman" w:cs="Times New Roman"/>
          <w:spacing w:val="-3"/>
          <w:sz w:val="28"/>
          <w:szCs w:val="28"/>
          <w:lang w:val="be-BY"/>
        </w:rPr>
        <w:t xml:space="preserve"> </w:t>
      </w:r>
      <w:r w:rsidRPr="008F54BB">
        <w:rPr>
          <w:rFonts w:ascii="Times New Roman" w:eastAsia="Calibri" w:hAnsi="Times New Roman" w:cs="Times New Roman"/>
          <w:sz w:val="28"/>
          <w:szCs w:val="28"/>
          <w:lang w:val="be-BY"/>
        </w:rPr>
        <w:t>обеспечит потенциал для дальнейшего социально-экономического развития агропромышленного комплекса страны.</w:t>
      </w:r>
    </w:p>
    <w:p w:rsidR="00093BCC" w:rsidRPr="008F54BB" w:rsidRDefault="00093BCC" w:rsidP="008F54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4BB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093BCC" w:rsidRPr="008F54BB" w:rsidRDefault="00093BCC" w:rsidP="008F54BB">
      <w:pPr>
        <w:pStyle w:val="a6"/>
        <w:numPr>
          <w:ilvl w:val="3"/>
          <w:numId w:val="2"/>
        </w:numPr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F54BB">
        <w:rPr>
          <w:sz w:val="28"/>
          <w:szCs w:val="28"/>
        </w:rPr>
        <w:t xml:space="preserve">Васильева И.В., </w:t>
      </w:r>
      <w:proofErr w:type="spellStart"/>
      <w:r w:rsidRPr="008F54BB">
        <w:rPr>
          <w:sz w:val="28"/>
          <w:szCs w:val="28"/>
        </w:rPr>
        <w:t>Можаев</w:t>
      </w:r>
      <w:proofErr w:type="spellEnd"/>
      <w:r w:rsidRPr="008F54BB">
        <w:rPr>
          <w:sz w:val="28"/>
          <w:szCs w:val="28"/>
        </w:rPr>
        <w:t xml:space="preserve"> Е.Е., Егоров Ю.Н., Шайтан Б.И. Предпринимательский потенциал вуза: особенности становления и развития//Наука, технологии, кадры – основы достижения прорывных результатов в АПК. Сборник материалов Международной научно-практической конференции Казань. 2021. </w:t>
      </w:r>
    </w:p>
    <w:p w:rsidR="00093BCC" w:rsidRPr="008F54BB" w:rsidRDefault="00093BCC" w:rsidP="008F54BB">
      <w:pPr>
        <w:pStyle w:val="a5"/>
        <w:numPr>
          <w:ilvl w:val="3"/>
          <w:numId w:val="2"/>
        </w:numPr>
        <w:tabs>
          <w:tab w:val="clear" w:pos="2880"/>
          <w:tab w:val="num" w:pos="0"/>
        </w:tabs>
        <w:spacing w:line="360" w:lineRule="auto"/>
        <w:ind w:left="0" w:right="125" w:firstLine="709"/>
        <w:rPr>
          <w:rFonts w:eastAsiaTheme="minorHAnsi"/>
          <w:sz w:val="28"/>
          <w:szCs w:val="28"/>
        </w:rPr>
      </w:pPr>
      <w:proofErr w:type="spellStart"/>
      <w:r w:rsidRPr="008F54BB">
        <w:rPr>
          <w:rFonts w:eastAsiaTheme="minorHAnsi"/>
          <w:sz w:val="28"/>
          <w:szCs w:val="28"/>
        </w:rPr>
        <w:t>Можаев</w:t>
      </w:r>
      <w:proofErr w:type="spellEnd"/>
      <w:r w:rsidRPr="008F54BB">
        <w:rPr>
          <w:rFonts w:eastAsiaTheme="minorHAnsi"/>
          <w:sz w:val="28"/>
          <w:szCs w:val="28"/>
        </w:rPr>
        <w:t xml:space="preserve"> Е.Е., </w:t>
      </w:r>
      <w:proofErr w:type="spellStart"/>
      <w:r w:rsidRPr="008F54BB">
        <w:rPr>
          <w:rFonts w:eastAsiaTheme="minorHAnsi"/>
          <w:sz w:val="28"/>
          <w:szCs w:val="28"/>
        </w:rPr>
        <w:t>Демишкевич</w:t>
      </w:r>
      <w:proofErr w:type="spellEnd"/>
      <w:r w:rsidRPr="008F54BB">
        <w:rPr>
          <w:rFonts w:eastAsiaTheme="minorHAnsi"/>
          <w:sz w:val="28"/>
          <w:szCs w:val="28"/>
        </w:rPr>
        <w:t xml:space="preserve"> Г.М., Новиков В.Г., Шайтан Б.И., </w:t>
      </w:r>
      <w:proofErr w:type="spellStart"/>
      <w:r w:rsidRPr="008F54BB">
        <w:rPr>
          <w:rFonts w:eastAsiaTheme="minorHAnsi"/>
          <w:sz w:val="28"/>
          <w:szCs w:val="28"/>
        </w:rPr>
        <w:t>Горкин</w:t>
      </w:r>
      <w:proofErr w:type="spellEnd"/>
      <w:r w:rsidRPr="008F54BB">
        <w:rPr>
          <w:rFonts w:eastAsiaTheme="minorHAnsi"/>
          <w:sz w:val="28"/>
          <w:szCs w:val="28"/>
        </w:rPr>
        <w:t xml:space="preserve"> А.В., Семенова Е.И., Новичков Н. В., Корниенко А.В., </w:t>
      </w:r>
      <w:proofErr w:type="spellStart"/>
      <w:r w:rsidRPr="008F54BB">
        <w:rPr>
          <w:rFonts w:eastAsiaTheme="minorHAnsi"/>
          <w:sz w:val="28"/>
          <w:szCs w:val="28"/>
        </w:rPr>
        <w:t>Гридасова</w:t>
      </w:r>
      <w:proofErr w:type="spellEnd"/>
      <w:r w:rsidRPr="008F54BB">
        <w:rPr>
          <w:rFonts w:eastAsiaTheme="minorHAnsi"/>
          <w:sz w:val="28"/>
          <w:szCs w:val="28"/>
        </w:rPr>
        <w:t xml:space="preserve"> Е.А., Борисов М.Ю., Багдасарян В. Э., Шестопалова Е.В. Система кадрового обеспечения </w:t>
      </w:r>
      <w:proofErr w:type="spellStart"/>
      <w:r w:rsidRPr="008F54BB">
        <w:rPr>
          <w:rFonts w:eastAsiaTheme="minorHAnsi"/>
          <w:sz w:val="28"/>
          <w:szCs w:val="28"/>
        </w:rPr>
        <w:t>агросферы</w:t>
      </w:r>
      <w:proofErr w:type="spellEnd"/>
      <w:r w:rsidRPr="008F54BB">
        <w:rPr>
          <w:rFonts w:eastAsiaTheme="minorHAnsi"/>
          <w:sz w:val="28"/>
          <w:szCs w:val="28"/>
        </w:rPr>
        <w:t xml:space="preserve"> России: состояние, механизмы воспроизводства и направления развития. Аналитический материал. М.: ФБНУ «</w:t>
      </w:r>
      <w:proofErr w:type="spellStart"/>
      <w:r w:rsidRPr="008F54BB">
        <w:rPr>
          <w:rFonts w:eastAsiaTheme="minorHAnsi"/>
          <w:sz w:val="28"/>
          <w:szCs w:val="28"/>
        </w:rPr>
        <w:t>Росинформагротех</w:t>
      </w:r>
      <w:proofErr w:type="spellEnd"/>
      <w:r w:rsidRPr="008F54BB">
        <w:rPr>
          <w:rFonts w:eastAsiaTheme="minorHAnsi"/>
          <w:sz w:val="28"/>
          <w:szCs w:val="28"/>
        </w:rPr>
        <w:t>». 2021. 395 с.</w:t>
      </w:r>
    </w:p>
    <w:p w:rsidR="00093BCC" w:rsidRPr="008F54BB" w:rsidRDefault="00093BCC" w:rsidP="008F54BB">
      <w:pPr>
        <w:pStyle w:val="a5"/>
        <w:widowControl/>
        <w:numPr>
          <w:ilvl w:val="3"/>
          <w:numId w:val="2"/>
        </w:numPr>
        <w:tabs>
          <w:tab w:val="clear" w:pos="2880"/>
          <w:tab w:val="num" w:pos="0"/>
        </w:tabs>
        <w:autoSpaceDE/>
        <w:autoSpaceDN/>
        <w:spacing w:line="360" w:lineRule="auto"/>
        <w:ind w:left="0" w:right="125" w:firstLine="709"/>
        <w:contextualSpacing/>
        <w:rPr>
          <w:rFonts w:eastAsiaTheme="minorHAnsi"/>
          <w:sz w:val="28"/>
          <w:szCs w:val="28"/>
        </w:rPr>
      </w:pPr>
      <w:r w:rsidRPr="008F54BB">
        <w:rPr>
          <w:rFonts w:eastAsiaTheme="minorHAnsi"/>
          <w:sz w:val="28"/>
          <w:szCs w:val="28"/>
        </w:rPr>
        <w:t xml:space="preserve">Новиков В.Г., Васильева И.В., </w:t>
      </w:r>
      <w:proofErr w:type="spellStart"/>
      <w:r w:rsidRPr="008F54BB">
        <w:rPr>
          <w:rFonts w:eastAsiaTheme="minorHAnsi"/>
          <w:sz w:val="28"/>
          <w:szCs w:val="28"/>
        </w:rPr>
        <w:t>Можаев</w:t>
      </w:r>
      <w:proofErr w:type="spellEnd"/>
      <w:r w:rsidRPr="008F54BB">
        <w:rPr>
          <w:rFonts w:eastAsiaTheme="minorHAnsi"/>
          <w:sz w:val="28"/>
          <w:szCs w:val="28"/>
        </w:rPr>
        <w:t xml:space="preserve"> Е.Е. Концептуальные основы воспроизводства и регулирования трудового потенциала сельских </w:t>
      </w:r>
      <w:r w:rsidRPr="008F54BB">
        <w:rPr>
          <w:rFonts w:eastAsiaTheme="minorHAnsi"/>
          <w:sz w:val="28"/>
          <w:szCs w:val="28"/>
        </w:rPr>
        <w:lastRenderedPageBreak/>
        <w:t xml:space="preserve">территорий: современные подходы в условиях демографических и </w:t>
      </w:r>
      <w:proofErr w:type="spellStart"/>
      <w:r w:rsidRPr="008F54BB">
        <w:rPr>
          <w:rFonts w:eastAsiaTheme="minorHAnsi"/>
          <w:sz w:val="28"/>
          <w:szCs w:val="28"/>
        </w:rPr>
        <w:t>трудоресурсных</w:t>
      </w:r>
      <w:proofErr w:type="spellEnd"/>
      <w:r w:rsidRPr="008F54BB">
        <w:rPr>
          <w:rFonts w:eastAsiaTheme="minorHAnsi"/>
          <w:sz w:val="28"/>
          <w:szCs w:val="28"/>
        </w:rPr>
        <w:t xml:space="preserve"> рисков//Вестник Российского государственного аграрного заочного университета. -2017.- № 25 (30).</w:t>
      </w:r>
      <w:r w:rsidRPr="008F54BB">
        <w:rPr>
          <w:rFonts w:eastAsiaTheme="minorHAnsi"/>
          <w:sz w:val="28"/>
          <w:szCs w:val="28"/>
        </w:rPr>
        <w:tab/>
      </w:r>
      <w:r w:rsidRPr="008F54BB">
        <w:rPr>
          <w:rFonts w:eastAsiaTheme="minorHAnsi"/>
          <w:sz w:val="28"/>
          <w:szCs w:val="28"/>
        </w:rPr>
        <w:tab/>
      </w:r>
    </w:p>
    <w:p w:rsidR="00093BCC" w:rsidRPr="008F54BB" w:rsidRDefault="00093BCC" w:rsidP="008F54BB">
      <w:pPr>
        <w:pStyle w:val="a5"/>
        <w:widowControl/>
        <w:numPr>
          <w:ilvl w:val="3"/>
          <w:numId w:val="2"/>
        </w:numPr>
        <w:tabs>
          <w:tab w:val="clear" w:pos="2880"/>
          <w:tab w:val="num" w:pos="0"/>
        </w:tabs>
        <w:autoSpaceDE/>
        <w:autoSpaceDN/>
        <w:spacing w:line="360" w:lineRule="auto"/>
        <w:ind w:left="0" w:right="125" w:firstLine="709"/>
        <w:contextualSpacing/>
        <w:rPr>
          <w:rFonts w:eastAsiaTheme="minorHAnsi"/>
          <w:sz w:val="28"/>
          <w:szCs w:val="28"/>
        </w:rPr>
      </w:pPr>
      <w:r w:rsidRPr="008F54BB">
        <w:rPr>
          <w:rFonts w:eastAsiaTheme="minorHAnsi"/>
          <w:sz w:val="28"/>
          <w:szCs w:val="28"/>
        </w:rPr>
        <w:t xml:space="preserve">Новиков В.Г., Васильева И.В., </w:t>
      </w:r>
      <w:proofErr w:type="spellStart"/>
      <w:r w:rsidRPr="008F54BB">
        <w:rPr>
          <w:rFonts w:eastAsiaTheme="minorHAnsi"/>
          <w:sz w:val="28"/>
          <w:szCs w:val="28"/>
        </w:rPr>
        <w:t>Можаев</w:t>
      </w:r>
      <w:proofErr w:type="spellEnd"/>
      <w:r w:rsidRPr="008F54BB">
        <w:rPr>
          <w:rFonts w:eastAsiaTheme="minorHAnsi"/>
          <w:sz w:val="28"/>
          <w:szCs w:val="28"/>
        </w:rPr>
        <w:t xml:space="preserve"> Е.Е., Чалый В.С. Предметное поле и категориальный аппарат теории человеческого капитала//Вестник Российского государственного аграрного заочного университета. -2017.- № 25 (30).</w:t>
      </w:r>
      <w:r w:rsidRPr="008F54BB">
        <w:rPr>
          <w:rFonts w:eastAsiaTheme="minorHAnsi"/>
          <w:sz w:val="28"/>
          <w:szCs w:val="28"/>
        </w:rPr>
        <w:tab/>
      </w:r>
      <w:r w:rsidRPr="008F54BB">
        <w:rPr>
          <w:rFonts w:eastAsiaTheme="minorHAnsi"/>
          <w:sz w:val="28"/>
          <w:szCs w:val="28"/>
        </w:rPr>
        <w:tab/>
      </w:r>
    </w:p>
    <w:p w:rsidR="00093BCC" w:rsidRPr="008F54BB" w:rsidRDefault="00093BCC" w:rsidP="008F54BB">
      <w:pPr>
        <w:pStyle w:val="a6"/>
        <w:numPr>
          <w:ilvl w:val="3"/>
          <w:numId w:val="2"/>
        </w:numPr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F54BB">
        <w:rPr>
          <w:sz w:val="28"/>
          <w:szCs w:val="28"/>
        </w:rPr>
        <w:t xml:space="preserve">Новиков В.Г., </w:t>
      </w:r>
      <w:proofErr w:type="spellStart"/>
      <w:r w:rsidRPr="008F54BB">
        <w:rPr>
          <w:sz w:val="28"/>
          <w:szCs w:val="28"/>
        </w:rPr>
        <w:t>Горкин</w:t>
      </w:r>
      <w:proofErr w:type="spellEnd"/>
      <w:r w:rsidRPr="008F54BB">
        <w:rPr>
          <w:sz w:val="28"/>
          <w:szCs w:val="28"/>
        </w:rPr>
        <w:t xml:space="preserve"> А.В., Шайтан Б.И., </w:t>
      </w:r>
      <w:proofErr w:type="spellStart"/>
      <w:r w:rsidRPr="008F54BB">
        <w:rPr>
          <w:sz w:val="28"/>
          <w:szCs w:val="28"/>
        </w:rPr>
        <w:t>Можаев</w:t>
      </w:r>
      <w:proofErr w:type="spellEnd"/>
      <w:r w:rsidRPr="008F54BB">
        <w:rPr>
          <w:sz w:val="28"/>
          <w:szCs w:val="28"/>
        </w:rPr>
        <w:t xml:space="preserve"> Е.Е. О разработке профессиональных стандартов и механизме перевода профессионального стандарта в образовательную программу//Дополнительное профессиональное образование агропромышленного комплекса: научное обеспечение. Сборник 2-й научно-практической конференции «Андреевские чтения». М.: РАКО АПК. 2021. </w:t>
      </w:r>
    </w:p>
    <w:p w:rsidR="00093BCC" w:rsidRPr="008F54BB" w:rsidRDefault="00093BCC" w:rsidP="008F54BB">
      <w:pPr>
        <w:pStyle w:val="a6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4BB">
        <w:rPr>
          <w:sz w:val="28"/>
          <w:szCs w:val="28"/>
        </w:rPr>
        <w:t xml:space="preserve">6. Новиков В.Г., </w:t>
      </w:r>
      <w:proofErr w:type="spellStart"/>
      <w:r w:rsidRPr="008F54BB">
        <w:rPr>
          <w:sz w:val="28"/>
          <w:szCs w:val="28"/>
        </w:rPr>
        <w:t>Можаев</w:t>
      </w:r>
      <w:proofErr w:type="spellEnd"/>
      <w:r w:rsidRPr="008F54BB">
        <w:rPr>
          <w:sz w:val="28"/>
          <w:szCs w:val="28"/>
        </w:rPr>
        <w:t xml:space="preserve"> Е.Е., Шайтан Б.И. </w:t>
      </w:r>
      <w:proofErr w:type="spellStart"/>
      <w:r w:rsidRPr="008F54BB">
        <w:rPr>
          <w:sz w:val="28"/>
          <w:szCs w:val="28"/>
        </w:rPr>
        <w:t>Критериальный</w:t>
      </w:r>
      <w:proofErr w:type="spellEnd"/>
      <w:r w:rsidRPr="008F54BB">
        <w:rPr>
          <w:sz w:val="28"/>
          <w:szCs w:val="28"/>
        </w:rPr>
        <w:t xml:space="preserve"> подход к оцениванию результатов научно-исследовательских работ в дополнительном профессиональном образовании//Дополнительное профессиональное образование агропромышленного комплекса: научное обеспечение. Сборник 2-й научно-практической конференции «Андреевские чтения». М.: РАКО АПК. 2021. </w:t>
      </w:r>
    </w:p>
    <w:p w:rsidR="00093BCC" w:rsidRPr="008F54BB" w:rsidRDefault="00093BCC" w:rsidP="008F54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4BB">
        <w:rPr>
          <w:sz w:val="28"/>
          <w:szCs w:val="28"/>
        </w:rPr>
        <w:t xml:space="preserve">7.Шайтан Б.И., </w:t>
      </w:r>
      <w:proofErr w:type="spellStart"/>
      <w:r w:rsidRPr="008F54BB">
        <w:rPr>
          <w:sz w:val="28"/>
          <w:szCs w:val="28"/>
        </w:rPr>
        <w:t>Можаев</w:t>
      </w:r>
      <w:proofErr w:type="spellEnd"/>
      <w:r w:rsidRPr="008F54BB">
        <w:rPr>
          <w:sz w:val="28"/>
          <w:szCs w:val="28"/>
        </w:rPr>
        <w:t xml:space="preserve"> Е.Е., </w:t>
      </w:r>
      <w:proofErr w:type="spellStart"/>
      <w:r w:rsidRPr="008F54BB">
        <w:rPr>
          <w:sz w:val="28"/>
          <w:szCs w:val="28"/>
        </w:rPr>
        <w:t>Гешель</w:t>
      </w:r>
      <w:proofErr w:type="spellEnd"/>
      <w:r w:rsidRPr="008F54BB">
        <w:rPr>
          <w:sz w:val="28"/>
          <w:szCs w:val="28"/>
        </w:rPr>
        <w:t xml:space="preserve"> В.П. Условия формирования и эффективного использования трудовых ресурсов в сфере аграрного производства//Наука, технологии, кадры – основы достижения прорывных результатов в АПК. Сборник материалов Международной научно-практической конференции. Казань. 2021.</w:t>
      </w:r>
    </w:p>
    <w:p w:rsidR="00093BCC" w:rsidRPr="008F54BB" w:rsidRDefault="00093BCC" w:rsidP="008F54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4BB">
        <w:rPr>
          <w:sz w:val="28"/>
          <w:szCs w:val="28"/>
        </w:rPr>
        <w:t xml:space="preserve">8.Шайтан Б.И., Новиков В.Г., </w:t>
      </w:r>
      <w:proofErr w:type="spellStart"/>
      <w:r w:rsidRPr="008F54BB">
        <w:rPr>
          <w:sz w:val="28"/>
          <w:szCs w:val="28"/>
        </w:rPr>
        <w:t>Горкин</w:t>
      </w:r>
      <w:proofErr w:type="spellEnd"/>
      <w:r w:rsidRPr="008F54BB">
        <w:rPr>
          <w:sz w:val="28"/>
          <w:szCs w:val="28"/>
        </w:rPr>
        <w:t xml:space="preserve"> А.В., Титов Н.Л., </w:t>
      </w:r>
      <w:proofErr w:type="spellStart"/>
      <w:r w:rsidRPr="008F54BB">
        <w:rPr>
          <w:sz w:val="28"/>
          <w:szCs w:val="28"/>
        </w:rPr>
        <w:t>Шарипов</w:t>
      </w:r>
      <w:proofErr w:type="spellEnd"/>
      <w:r w:rsidRPr="008F54BB">
        <w:rPr>
          <w:sz w:val="28"/>
          <w:szCs w:val="28"/>
        </w:rPr>
        <w:t xml:space="preserve"> С.А., </w:t>
      </w:r>
      <w:proofErr w:type="spellStart"/>
      <w:r w:rsidRPr="008F54BB">
        <w:rPr>
          <w:sz w:val="28"/>
          <w:szCs w:val="28"/>
        </w:rPr>
        <w:t>Можаев</w:t>
      </w:r>
      <w:proofErr w:type="spellEnd"/>
      <w:r w:rsidRPr="008F54BB">
        <w:rPr>
          <w:sz w:val="28"/>
          <w:szCs w:val="28"/>
        </w:rPr>
        <w:t xml:space="preserve"> Е.Е. Дополнительное  профессиональное образование специалистов АПК и сельских территорий: проблемы, направления диверсификации. Монография. М.: РАКО АПК, 2021</w:t>
      </w:r>
    </w:p>
    <w:p w:rsidR="00093BCC" w:rsidRPr="008F54BB" w:rsidRDefault="00093BCC" w:rsidP="008F54BB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83AE5" w:rsidRPr="008F54BB" w:rsidRDefault="00F83AE5" w:rsidP="008F54BB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sectPr w:rsidR="00F83AE5" w:rsidRPr="008F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7A83"/>
    <w:multiLevelType w:val="hybridMultilevel"/>
    <w:tmpl w:val="A3300268"/>
    <w:lvl w:ilvl="0" w:tplc="BC688A0A">
      <w:start w:val="1"/>
      <w:numFmt w:val="decimal"/>
      <w:lvlText w:val="%1."/>
      <w:lvlJc w:val="left"/>
      <w:pPr>
        <w:ind w:left="360" w:hanging="360"/>
      </w:pPr>
      <w:rPr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D0C67"/>
    <w:multiLevelType w:val="hybridMultilevel"/>
    <w:tmpl w:val="053E9484"/>
    <w:lvl w:ilvl="0" w:tplc="0D9C5E72">
      <w:numFmt w:val="bullet"/>
      <w:lvlText w:val="–"/>
      <w:lvlJc w:val="left"/>
      <w:pPr>
        <w:ind w:left="1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980A9FE">
      <w:numFmt w:val="bullet"/>
      <w:lvlText w:val="•"/>
      <w:lvlJc w:val="left"/>
      <w:pPr>
        <w:ind w:left="902" w:hanging="284"/>
      </w:pPr>
      <w:rPr>
        <w:lang w:val="ru-RU" w:eastAsia="en-US" w:bidi="ar-SA"/>
      </w:rPr>
    </w:lvl>
    <w:lvl w:ilvl="2" w:tplc="E54C19D6">
      <w:numFmt w:val="bullet"/>
      <w:lvlText w:val="•"/>
      <w:lvlJc w:val="left"/>
      <w:pPr>
        <w:ind w:left="1684" w:hanging="284"/>
      </w:pPr>
      <w:rPr>
        <w:lang w:val="ru-RU" w:eastAsia="en-US" w:bidi="ar-SA"/>
      </w:rPr>
    </w:lvl>
    <w:lvl w:ilvl="3" w:tplc="9A7C2DF8">
      <w:numFmt w:val="bullet"/>
      <w:lvlText w:val="•"/>
      <w:lvlJc w:val="left"/>
      <w:pPr>
        <w:ind w:left="2466" w:hanging="284"/>
      </w:pPr>
      <w:rPr>
        <w:lang w:val="ru-RU" w:eastAsia="en-US" w:bidi="ar-SA"/>
      </w:rPr>
    </w:lvl>
    <w:lvl w:ilvl="4" w:tplc="CA36FCF0">
      <w:numFmt w:val="bullet"/>
      <w:lvlText w:val="•"/>
      <w:lvlJc w:val="left"/>
      <w:pPr>
        <w:ind w:left="3248" w:hanging="284"/>
      </w:pPr>
      <w:rPr>
        <w:lang w:val="ru-RU" w:eastAsia="en-US" w:bidi="ar-SA"/>
      </w:rPr>
    </w:lvl>
    <w:lvl w:ilvl="5" w:tplc="387A0772">
      <w:numFmt w:val="bullet"/>
      <w:lvlText w:val="•"/>
      <w:lvlJc w:val="left"/>
      <w:pPr>
        <w:ind w:left="4030" w:hanging="284"/>
      </w:pPr>
      <w:rPr>
        <w:lang w:val="ru-RU" w:eastAsia="en-US" w:bidi="ar-SA"/>
      </w:rPr>
    </w:lvl>
    <w:lvl w:ilvl="6" w:tplc="DADA6B1C">
      <w:numFmt w:val="bullet"/>
      <w:lvlText w:val="•"/>
      <w:lvlJc w:val="left"/>
      <w:pPr>
        <w:ind w:left="4812" w:hanging="284"/>
      </w:pPr>
      <w:rPr>
        <w:lang w:val="ru-RU" w:eastAsia="en-US" w:bidi="ar-SA"/>
      </w:rPr>
    </w:lvl>
    <w:lvl w:ilvl="7" w:tplc="7426788E">
      <w:numFmt w:val="bullet"/>
      <w:lvlText w:val="•"/>
      <w:lvlJc w:val="left"/>
      <w:pPr>
        <w:ind w:left="5594" w:hanging="284"/>
      </w:pPr>
      <w:rPr>
        <w:lang w:val="ru-RU" w:eastAsia="en-US" w:bidi="ar-SA"/>
      </w:rPr>
    </w:lvl>
    <w:lvl w:ilvl="8" w:tplc="4002DF20">
      <w:numFmt w:val="bullet"/>
      <w:lvlText w:val="•"/>
      <w:lvlJc w:val="left"/>
      <w:pPr>
        <w:ind w:left="6376" w:hanging="284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A3"/>
    <w:rsid w:val="00024FA3"/>
    <w:rsid w:val="00093BCC"/>
    <w:rsid w:val="00097F43"/>
    <w:rsid w:val="000F690D"/>
    <w:rsid w:val="00290B57"/>
    <w:rsid w:val="00293F2C"/>
    <w:rsid w:val="002D69BE"/>
    <w:rsid w:val="0057682F"/>
    <w:rsid w:val="005B4BC7"/>
    <w:rsid w:val="00856FBB"/>
    <w:rsid w:val="0086264D"/>
    <w:rsid w:val="008F54BB"/>
    <w:rsid w:val="009F088D"/>
    <w:rsid w:val="00A5664E"/>
    <w:rsid w:val="00D57AEB"/>
    <w:rsid w:val="00E50F48"/>
    <w:rsid w:val="00E70B15"/>
    <w:rsid w:val="00EC18E8"/>
    <w:rsid w:val="00ED0DDC"/>
    <w:rsid w:val="00F83AE5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682F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57682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qFormat/>
    <w:rsid w:val="00093BCC"/>
    <w:pPr>
      <w:widowControl w:val="0"/>
      <w:autoSpaceDE w:val="0"/>
      <w:autoSpaceDN w:val="0"/>
      <w:spacing w:after="0" w:line="240" w:lineRule="auto"/>
      <w:ind w:left="386" w:right="1247" w:hanging="285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nhideWhenUsed/>
    <w:rsid w:val="0009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682F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57682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qFormat/>
    <w:rsid w:val="00093BCC"/>
    <w:pPr>
      <w:widowControl w:val="0"/>
      <w:autoSpaceDE w:val="0"/>
      <w:autoSpaceDN w:val="0"/>
      <w:spacing w:after="0" w:line="240" w:lineRule="auto"/>
      <w:ind w:left="386" w:right="1247" w:hanging="285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nhideWhenUsed/>
    <w:rsid w:val="0009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</dc:creator>
  <cp:lastModifiedBy>Е.Е. Можаев</cp:lastModifiedBy>
  <cp:revision>8</cp:revision>
  <cp:lastPrinted>2022-05-23T06:44:00Z</cp:lastPrinted>
  <dcterms:created xsi:type="dcterms:W3CDTF">2022-05-19T11:45:00Z</dcterms:created>
  <dcterms:modified xsi:type="dcterms:W3CDTF">2022-05-26T10:09:00Z</dcterms:modified>
</cp:coreProperties>
</file>