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0C" w:rsidRPr="004536FD" w:rsidRDefault="00DE760C" w:rsidP="00DE760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484848"/>
          <w:kern w:val="36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caps/>
          <w:color w:val="484848"/>
          <w:kern w:val="36"/>
          <w:sz w:val="28"/>
          <w:szCs w:val="28"/>
          <w:lang w:eastAsia="ru-RU"/>
        </w:rPr>
        <w:t>ФАКТОРЫ ФОРМИРОВАНИЯ ТАМОЖЕННОЙ СТОИМОСТИ ЭЛЕКТРОБЫТОВОЙ И ЭЛЕКТРОННОЙ ТЕХНИКИ</w:t>
      </w:r>
    </w:p>
    <w:p w:rsidR="00DE760C" w:rsidRDefault="001E09DC" w:rsidP="004536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484848"/>
          <w:sz w:val="28"/>
          <w:szCs w:val="28"/>
          <w:lang w:eastAsia="ru-RU"/>
        </w:rPr>
      </w:pPr>
      <w:hyperlink r:id="rId6" w:history="1">
        <w:r w:rsidR="00DE760C" w:rsidRPr="004536FD">
          <w:rPr>
            <w:rFonts w:ascii="Times New Roman" w:eastAsia="Times New Roman" w:hAnsi="Times New Roman" w:cs="Times New Roman"/>
            <w:b/>
            <w:bCs/>
            <w:iCs/>
            <w:color w:val="484848"/>
            <w:sz w:val="28"/>
            <w:szCs w:val="28"/>
            <w:lang w:eastAsia="ru-RU"/>
          </w:rPr>
          <w:t>Дёмин</w:t>
        </w:r>
      </w:hyperlink>
      <w:r w:rsidR="00DE760C" w:rsidRPr="004536FD">
        <w:rPr>
          <w:rFonts w:ascii="Times New Roman" w:eastAsia="Times New Roman" w:hAnsi="Times New Roman" w:cs="Times New Roman"/>
          <w:b/>
          <w:iCs/>
          <w:color w:val="484848"/>
          <w:sz w:val="28"/>
          <w:szCs w:val="28"/>
          <w:lang w:eastAsia="ru-RU"/>
        </w:rPr>
        <w:t xml:space="preserve"> Михаил Владимирович</w:t>
      </w:r>
    </w:p>
    <w:p w:rsidR="004536FD" w:rsidRDefault="004536FD" w:rsidP="004536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  <w:t>студент</w:t>
      </w:r>
    </w:p>
    <w:p w:rsidR="004536FD" w:rsidRDefault="004536FD" w:rsidP="004536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84848"/>
          <w:sz w:val="28"/>
          <w:szCs w:val="28"/>
          <w:lang w:eastAsia="ru-RU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  <w:t>Шарафитдинова</w:t>
      </w:r>
      <w:proofErr w:type="spellEnd"/>
      <w:r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  <w:t xml:space="preserve"> Наталья Валентиновна</w:t>
      </w:r>
    </w:p>
    <w:p w:rsidR="004536FD" w:rsidRDefault="004536FD" w:rsidP="004536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  <w:t xml:space="preserve">преподаватель </w:t>
      </w:r>
    </w:p>
    <w:p w:rsidR="001E09DC" w:rsidRPr="004536FD" w:rsidRDefault="001E09DC" w:rsidP="001E09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  <w:t>Техническая эксплуатация подвижного состава железных дорог</w:t>
      </w:r>
    </w:p>
    <w:p w:rsidR="004536FD" w:rsidRPr="004536FD" w:rsidRDefault="004536FD" w:rsidP="001E09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  <w:t>Колледж железнодорожного транспорта</w:t>
      </w:r>
    </w:p>
    <w:p w:rsidR="004536FD" w:rsidRPr="004536FD" w:rsidRDefault="004536FD" w:rsidP="001E09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4536FD" w:rsidRPr="004536FD" w:rsidRDefault="004536FD" w:rsidP="001E09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4536FD" w:rsidRDefault="004536FD" w:rsidP="001E09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  <w:t xml:space="preserve">(КЖТ </w:t>
      </w:r>
      <w:proofErr w:type="spellStart"/>
      <w:r w:rsidRPr="004536FD"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  <w:t>УрГУПС</w:t>
      </w:r>
      <w:proofErr w:type="spellEnd"/>
      <w:r w:rsidRPr="004536FD"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  <w:t>)</w:t>
      </w:r>
      <w:r w:rsidR="001E09DC">
        <w:rPr>
          <w:rFonts w:ascii="Times New Roman" w:eastAsia="Times New Roman" w:hAnsi="Times New Roman" w:cs="Times New Roman"/>
          <w:iCs/>
          <w:color w:val="484848"/>
          <w:sz w:val="28"/>
          <w:szCs w:val="28"/>
          <w:lang w:eastAsia="ru-RU"/>
        </w:rPr>
        <w:t>, г. Екатеринбург, Россия</w:t>
      </w:r>
    </w:p>
    <w:p w:rsidR="00DE760C" w:rsidRPr="00DE760C" w:rsidRDefault="00DE760C" w:rsidP="00DE7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АННОТАЦИЯ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статье рассмотрена сущность таможенной стоимости, факторы, влияющие на таможенную стоимость, а также дана характеристика электробытовой и электронной техники по ТН ВЭД ЕАЭС.</w:t>
      </w:r>
    </w:p>
    <w:p w:rsidR="00DE760C" w:rsidRPr="00DE760C" w:rsidRDefault="00DE760C" w:rsidP="004536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Ключевые слова:</w:t>
      </w: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ТН ВЭД ЕАЭС, таможенная стоимость, электробытовая и электронная техника, таможня.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Таможенная стоимость является одним из важных аспектов таможенных </w:t>
      </w:r>
      <w:proofErr w:type="gramStart"/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процедур</w:t>
      </w:r>
      <w:proofErr w:type="gramEnd"/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поскольку она влияет на таможенные платежи, которые считаются важным компонентом доходов федерального бюджета России.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Таможенная стоимость товаров включает цену сделки при приобретении товаров, стоимость их транспортировки до пункта пересечения таможенной границы, погрузочно-разгрузочные, страховые, комиссионные и брокерские сборы, а также прямые и косвенные лицензионные и другие сборы покупателя за использование объектов интеллектуальной собственности. [1, с. 142]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Сегодня остаются актуальными ряд намеренных и непреднамеренных проблем, связанных с определением и заявлением таможенной стоимости. </w:t>
      </w: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Непреднамеренные подразумевают отсутствие искажения ценовой информации, преднамеренные, в свою очередь, подразумевают умышленное уклонение от уплаты таможенных платежей. Поэтому, в настоящее время, важно проводить анализ разнообразных факторов, влияющих на таможенную стоимость.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Стоимость товаров, используемых для таможенных целей, обычно представляет собой стоимость сделки, то есть цену, фактически уплаченную или подлежащую уплате за товары. Окончательная цена товара – цена счета плюс стоимость транспортировки и страховки. Сюда также входят любые другие платежи, произведенные или подлежащие оплате за импортируемые товары. [2, с. 33]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 таможенной стоимости присоединяется совокупность всевозможных расходов, влияющих на рост цен на внутреннем рынке.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Купля-продажа продукта (внешнеэкономическая сделка) оформляется в форме письменного договора, именуемого контрактом.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Цена, устанавливаемая для перемещаемого через таможенные границы товара, характеризуется как одна из наиболее значимых категорий, оказывающих влияние таможенную стоимость. В частности, цена на товар должна быть четко определена и полноценно выражена, подтверждена прилагаемыми документами. Помимо прочего, цена товара устанавливается в рамках заключаемых внешнеторговых контрактов и служит основанием для определения таможенной стоимости товара. При определении цены товара в рамках заключаемых контрактов обязательно указываются единицы измерения товара, количество товаров, условия, выбранные в качестве базисных для поставки товаров, основная валюта, в которой осуществляются расчеты за товары, а также наличие особых условий, влияющих на снижение цены товара. В качестве условий могут предоставляться скидки и условия оплаты.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Еще одним элементом, который необходимо рассмотреть с позиции критериев, оказывающих влияния на формирование таможенной стоимости, важно выделить условия перемещения грузов. В настоящее время большинство методов распределения обязанности по доставке товара покупателю закреплено в международных правилах толкования торговых терминов «Инкотерс-2020».[3, с. 14]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Стоимость товаров, используемых для таможенных целей, обычно представляет собой стоимость сделки, то есть цену, фактически уплаченную или подлежащую уплате за товары. Это цена счета плюс стоимость транспортировки и страховки. Сюда также входят любые другие платежи, произведенные или подлежащие оплате за импортируемые товары.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Цена, устанавливаемая для перемещаемого через таможенные границы товара, характеризуется как одна из наиболее значимых категорий, оказывающих влияние таможенную стоимость. В частности, цена на товар должна быть четко определена и полноценно выражена, подтверждена прилагаемыми документами. Помимо прочего, цена товара устанавливается в рамках заключаемых внешнеторговых контрактов и служит основанием для определения таможенной стоимости товара. При определении цены товара в рамках заключаемых контрактов обязательно указываются единицы измерения товара, количество товаров, условия, выбранные в качестве базисных для поставки товаров, основная валюта, в которой осуществляются расчеты за товары, а также наличие особых условий, влияющих на снижение цены товара. В качестве условий могут предоставляться скидки и условия оплаты.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Классификация товаров для таможенных целей представляет собой особенность таможенного законодательства, обеспечивающую единообразие в таможенно-тарифном регулировании внешнеторговых операций.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Товарная номенклатура внешнеэкономической деятельности ЕАЭС представляет собой гармонизированную систему классификации товаров по группам с учетом специфических признаков данных товаров.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Правовую базу ТН ВЭД ЕАЭС составляют Гармонизированное описание и кодирование товаров, Системы Всемирной таможенной организации и Товарной номенклатуры внешнеэкономической деятельности Содружества Независимых Государств.</w:t>
      </w: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Группа 85 в разделе XVI ТН ВЭД ЕАЭС «Машины, оборудование и механизмы; электротехническое оборудование;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принадлежности» содержит 26 блоков. </w:t>
      </w:r>
      <w:proofErr w:type="gramStart"/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Данный раздел включает в себя все электротехнические и механические оборудования, установки, механизмы, устройства и аппараты и их части, а также определенные установки и аппараты, не являющиеся ни механическими, ни электрическими (такие как котлы и котельные, фильтрационные установки и пр.), и части таких устройств и установок, за исключением некоторых поименованных товаров в других разделах.[5, с. 253]</w:t>
      </w:r>
      <w:proofErr w:type="gramEnd"/>
    </w:p>
    <w:p w:rsidR="001E09DC" w:rsidRDefault="00DE760C" w:rsidP="001E09DC">
      <w:pPr>
        <w:pStyle w:val="a3"/>
        <w:shd w:val="clear" w:color="auto" w:fill="FFFFFF"/>
        <w:spacing w:before="0" w:beforeAutospacing="0" w:after="150" w:afterAutospacing="0"/>
        <w:rPr>
          <w:color w:val="484848"/>
          <w:sz w:val="28"/>
          <w:szCs w:val="28"/>
        </w:rPr>
      </w:pPr>
      <w:r w:rsidRPr="00DE760C">
        <w:rPr>
          <w:color w:val="484848"/>
          <w:sz w:val="28"/>
          <w:szCs w:val="28"/>
        </w:rPr>
        <w:t>Определение кода товара по ТН ВЭД ЕАЭС является сложным и ответственным механизмом, требующей знаний, умений необходимых для упрощения ведения статистики и автоматизированной обработки информации, а также предупреждения коррупционной составляющей и предотвращения контрабанды товаров.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 </w:t>
      </w:r>
      <w:r w:rsidRPr="001E09DC">
        <w:rPr>
          <w:color w:val="4E4E4E"/>
          <w:sz w:val="28"/>
          <w:szCs w:val="28"/>
        </w:rPr>
        <w:t>1. Виды государственного регулирования коммерческой деятельности.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Коммерческая деятельность, как и любая иная предпринимательская деятельность, в значительной степени регулируется государством. Прежде </w:t>
      </w:r>
      <w:proofErr w:type="gramStart"/>
      <w:r w:rsidRPr="001E09DC">
        <w:rPr>
          <w:color w:val="4E4E4E"/>
          <w:sz w:val="28"/>
          <w:szCs w:val="28"/>
        </w:rPr>
        <w:t>всего</w:t>
      </w:r>
      <w:proofErr w:type="gramEnd"/>
      <w:r w:rsidRPr="001E09DC">
        <w:rPr>
          <w:color w:val="4E4E4E"/>
          <w:sz w:val="28"/>
          <w:szCs w:val="28"/>
        </w:rPr>
        <w:t xml:space="preserve"> это относится к правовым основам, особенностям создания и функционирования коммерческих организаций. Как известно, эти вопросы регулируются Конституцией РФ, Гражданским кодексом РФ, соответствующими федеральными законами.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Кроме того, государство может особым образом регулировать условия хозяйствования коммерческих организаций: через установление запретов на отдельные виды деятельности (например, монополия государства на торговлю </w:t>
      </w:r>
      <w:r w:rsidRPr="001E09DC">
        <w:rPr>
          <w:color w:val="4E4E4E"/>
          <w:sz w:val="28"/>
          <w:szCs w:val="28"/>
        </w:rPr>
        <w:lastRenderedPageBreak/>
        <w:t>спиртными напитками, сигаретами и т.п.), лицензирование различных видов коммерческой деятельности, предоставление налоговых льгот или, напротив, введение повышенных налогов, пресечение недобросовестной конкуренции или монополистической деятельности.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Необходимо учитывать, что государство практически во всех странах оказывает регулирующее воздействие на ценообразование или напрямую устанавливает предельные уровни цен и осуществляет их контроль. С этой целью во многих странах создана правовая база регулирования в виде законов, указов, постановлений и существует надежная статистическая информация об уровне и динамике цен, которая используется для оценки реальных доходов населения и индексации заработной платы и пенсий.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Ни в одной капиталистической стране нет полной свободы в установлении цен, особенно в отраслях, влияющих на общий уровень цен в стране и на положение в социальном секторе экономики. К таким ценам относятся цены на энергоресурсы, медикаменты, почтово-телеграфные, телефонные и железнодорожные тарифы. Регулирование обеспечивает сбалансированность и стабильность экономики, а также конкурентоспособность товаров на внешних рынках. Государственное регулирование цен дополняется гибкой системой льготного кредитования и налогообложения, а также прямыми дотациями отдельным производствам и отраслям.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Особое место среди направлений государственного регулирования экономики традиционно занимают стимулирование развития наукоемкого, экспортного производства, поддержка национальных производителей конкурентоспособной продукции. Перечислим лишь некоторые наиболее распространенные меры подобного стимулирования: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1. Снижение налогообложения и предоставление налоговых кредитов предприятиям-производителям и коммерческим фирмам - экспортерам эффективной продукции.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2. Финансирование из бюджета научно-исследовательских и опытно-конструкторских работ (НИОКР) по разработке новых конкурентоспособных товаров.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3. Повышение конкурентоспособности продукции за счет общего снижения цен в стране и повышения технического уровня товаров.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4. Участие государства и содействие частным компаниям в страховании   валютных и политических рисков при экспорте товаров.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Наконец, в современных условиях каждое государство разрабатывает и претворяет в жизнь особую внешнеэкономическую политику для достижения следующих основных целей: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1. Содействия экономическому развитию страны путем реструктуризации   производства и потребления товаров.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lastRenderedPageBreak/>
        <w:t>2. Защиты экономических, моральных, этических и других интересов страны от проникновения на ее территорию нежелательной продукции иностранного производства.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3. Решения фискальных задач, в частности пополнения бюджета страны.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Для достижения указанных целей государство осуществляет таможенное и другие виды регулирования товарного обмена, а именно: валютное регулирование, стимулирование производства и обмена наиболее эффективными видами товаров, содействие развитию международной кооперации, создание благоприятного климата для привлечения инвестиций и т.д.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proofErr w:type="gramStart"/>
      <w:r w:rsidRPr="001E09DC">
        <w:rPr>
          <w:color w:val="4E4E4E"/>
          <w:sz w:val="28"/>
          <w:szCs w:val="28"/>
        </w:rPr>
        <w:t>В России правовой основой регулирования является Конституция РФ, Федеральный закон «О государственном регулировании внешнеторговой деятельности», принятый 21 июля 1995 г., Федеральный закон «О валютном регулировании и валютном контроле», принятый 9 октября 1992 г., Таможенный кодекс Российской Федерации, принятый 18 июня 1993 г., Закон Российской Федерации «О таможенном тарифе», принятый 21 мая 1993 г., другие федеральные законы, международные договоры.</w:t>
      </w:r>
      <w:proofErr w:type="gramEnd"/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В ведении Российской Федерации находится разработка концепции стратегии развития внешнеторговых связей, обеспечение экономических интересов России, государственное регулирование внешнеторговой деятельности. </w:t>
      </w:r>
      <w:proofErr w:type="gramStart"/>
      <w:r w:rsidRPr="001E09DC">
        <w:rPr>
          <w:color w:val="4E4E4E"/>
          <w:sz w:val="28"/>
          <w:szCs w:val="28"/>
        </w:rPr>
        <w:t>В ведение Российской Федерации также входит формирование и использование золотовалютных резервов, разработка платежного баланса страны, заключение международных договоров в области внешних экономических связей, участие в международных экономических и научно-технических организация создание и обеспечение функционирования торговых представительств в других странах Российская Федерация осуществляет координацию внешнеторговой деятельности субъектов РФ, получение иностранных кредитов под гарантию субъектов РФ, их использование и погашение.</w:t>
      </w:r>
      <w:proofErr w:type="gramEnd"/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Существенную роль в разработке </w:t>
      </w:r>
      <w:proofErr w:type="gramStart"/>
      <w:r w:rsidRPr="001E09DC">
        <w:rPr>
          <w:color w:val="4E4E4E"/>
          <w:sz w:val="28"/>
          <w:szCs w:val="28"/>
        </w:rPr>
        <w:t>концепции стратегии обеспечения экономических интересов России</w:t>
      </w:r>
      <w:proofErr w:type="gramEnd"/>
      <w:r w:rsidRPr="001E09DC">
        <w:rPr>
          <w:color w:val="4E4E4E"/>
          <w:sz w:val="28"/>
          <w:szCs w:val="28"/>
        </w:rPr>
        <w:t xml:space="preserve"> играет таможенное регулирование внешнеторговых операций.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2. Роль таможенной стоимости при таможенном регулировании коммерческой   деятельности.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Правительство РФ обеспечивает проведение единой внешнеторговой политики на основе разрабатываемых программ, принимает меры по защите внутреннего рынка через таможенно-тарифное регулирование и количественные ограничения путем конкурсного распределения квот и лицензий. Правительство может вводить федеральными законами государственную монополию на экспорт и импорт отдельных товаров путем выдачи лицензий исключительно государственным унитарным предприятиям, чтобы обеспечить применение квалифицированной и добросовестной коммерческой практики.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lastRenderedPageBreak/>
        <w:t>В соответствии с федеральными законами и международными договорами правительство может устанавливать запреты и ограничения на экспорт и импорт товаров, услуг и результатов интеллектуальной деятельности с целью охраны жизни и здоровья людей, соблюдения общественной морали и правопорядка, сохранения культурного наследия, предотвращения разграбления природных ресурсов и т.д. Правительство определяет порядок осуществления приграничной торговли, вводит особый режим хозяйственной и внешнеторговой деятельности свободных экономических зонах.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Общее руководство таможенным делом в стране осуществляют Президент и Правительство РФ, а органом исполнительной власти является Государственный таможенный комитет Российской Федерации (ГТК РФ). Правовые, экономические и организационные основы таможенного дела определены в Таможенном кодексе РФ. Оперативную таможенную деятельность ведут региональные таможенные управления, таможни и таможенные посты. Основными функциями таможенных органов являются: участие в разработке и реализации таможенной политики, а также защита интересов российских субъектов внешнеэкономической деятельности (ВЭД). ГТК РФ уполномочен издавать в пределах своей компетенции нормативные акты, которые вступают в силу по истечении 30 дней с даты их опубликования, кроме тех, которые устанавливают введение более льготных условий более короткие сроки.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Право на ввоз и вывоз товаров, в том числе при осуществлении ВЭД, предоставляется в порядке, предусмотренном Таможенным кодексом РФ. Ввоз и вывоз ряда товаров может быть запрещен из соображений государственной безопасности и по иным причинам, защищающим нравственность, здоровье, безопасность и интересы сохранения национального достояния, а также в связи с выполнением международных обязательств РФ, защитой суверенитета и в качестве ответных мер на дискриминационную политику других государств.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Процесс перемещения товаров через таможенную границу осуществляется в соответствии с особыми процедурами, устанавливаемыми каждым государством. Общим для подобных процедур является неукоснительное выполнение правила: товар должен быть соответствующим образом оформлен и оплачен.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При перемещении товаров через таможенную границу РФ и в других случаях, упомянутых в Таможенном кодексе, устанавливаются следующие таможенные платежи: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1. Таможенная пошлина.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2. Налог на добавленную стоимость.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3. Акцизы.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4. Сборы за выдачу лицензий таможенными органами РФ и за   возобновление действий лицензий.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lastRenderedPageBreak/>
        <w:t>5. Сборы за выдачу квалификационного аттестата специалиста по таможенному оформлению и возобновление действия аттестата.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6. Таможенные сборы за таможенное оформление.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7. Таможенные сборы за хранение товаров.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8. Таможенные сборы за сопровождение товаров.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9. Плата за информирование и консультирование.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10. Плата за принятие предварительного решения.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11. Плата за участие в таможенных аукционах.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Для тарифного регулирования применяются следующие виды пошлин: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1. </w:t>
      </w:r>
      <w:proofErr w:type="gramStart"/>
      <w:r w:rsidRPr="001E09DC">
        <w:rPr>
          <w:color w:val="4E4E4E"/>
          <w:sz w:val="28"/>
          <w:szCs w:val="28"/>
        </w:rPr>
        <w:t>Адвалорные, исчисляемые в процентах к таможенной стоимости товаров.</w:t>
      </w:r>
      <w:proofErr w:type="gramEnd"/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2. Специфические, устанавливаемые к единице измерения товара.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3. Комбинированные, сочетающие оба вида обложения.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4. Сезонные пошлины, устанавливаемые на отдельные виды товаров, преимущественно товары сельскохозяйственного происхождения, сроком не более чем на 6 месяцев.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Основным видом ставок таможенных пошлин являются адвалорные, поэтому вопрос определения таможенной стоимости особенно важен для таможенно-тарифного регулирования. Кроме того, исчисление таможенной стоимости прямо или косвенно необходимо также для иных таможенных целей, например, таких как таможенная статистика, проверка обоснованности цены товара при бартерных сделках, </w:t>
      </w:r>
      <w:proofErr w:type="gramStart"/>
      <w:r w:rsidRPr="001E09DC">
        <w:rPr>
          <w:color w:val="4E4E4E"/>
          <w:sz w:val="28"/>
          <w:szCs w:val="28"/>
        </w:rPr>
        <w:t>контроль за</w:t>
      </w:r>
      <w:proofErr w:type="gramEnd"/>
      <w:r w:rsidRPr="001E09DC">
        <w:rPr>
          <w:color w:val="4E4E4E"/>
          <w:sz w:val="28"/>
          <w:szCs w:val="28"/>
        </w:rPr>
        <w:t xml:space="preserve"> эквивалентностью встречных товарных поставок, осуществление валютного контроля при проведении экспортно-импортных операций, контроль за соблюдением устанавливаемых стоимостных квот и др.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Рассмотрим более подробно систему определения и заявления таможенной стоимости, а также методы её определения и порядок их применения.</w:t>
      </w:r>
    </w:p>
    <w:p w:rsidR="001E09DC" w:rsidRDefault="001E09DC" w:rsidP="001E09D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36"/>
          <w:szCs w:val="36"/>
          <w:lang w:eastAsia="ru-RU"/>
        </w:rPr>
      </w:pPr>
      <w:r w:rsidRPr="001E09DC">
        <w:rPr>
          <w:rFonts w:ascii="Times New Roman" w:eastAsia="Times New Roman" w:hAnsi="Times New Roman" w:cs="Times New Roman"/>
          <w:b/>
          <w:bCs/>
          <w:color w:val="4E4E4E"/>
          <w:kern w:val="36"/>
          <w:sz w:val="36"/>
          <w:szCs w:val="36"/>
          <w:lang w:eastAsia="ru-RU"/>
        </w:rPr>
        <w:t>Система определения и заявления таможенной стоимости.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1. Система определения таможенной стоимости.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Наиболее полное представление о системе определения таможенной стоимости дает нам статья 12 Закона “О таможенном тарифе”. Она гласит: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“1. Система определения таможенной стоимости (таможенной оценки) товаров основывается на общих принципах таможенной оценки, принятых в международной практике, и распространяется на товары, ввозимые на таможенную территорию Российской Федерации.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Порядок применения системы таможенной оценки товаров, ввозимых на таможенную территорию Российской Федерации, устанавливается </w:t>
      </w:r>
      <w:r w:rsidRPr="001E09DC">
        <w:rPr>
          <w:color w:val="4E4E4E"/>
          <w:sz w:val="28"/>
          <w:szCs w:val="28"/>
        </w:rPr>
        <w:lastRenderedPageBreak/>
        <w:t>Правительством Российской Федерации на основании положений настоящего Закона.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2. Порядок определения таможенной стоимости товаров, вывозимых с таможенной территории Российской Федерации, устанавливается Правительством Российской Федерации</w:t>
      </w:r>
      <w:proofErr w:type="gramStart"/>
      <w:r w:rsidRPr="001E09DC">
        <w:rPr>
          <w:color w:val="4E4E4E"/>
          <w:sz w:val="28"/>
          <w:szCs w:val="28"/>
        </w:rPr>
        <w:t>.”</w:t>
      </w:r>
      <w:proofErr w:type="gramEnd"/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Законодательное определение</w:t>
      </w:r>
      <w:r w:rsidRPr="001E09DC">
        <w:rPr>
          <w:b/>
          <w:bCs/>
          <w:color w:val="4E4E4E"/>
          <w:sz w:val="28"/>
          <w:szCs w:val="28"/>
        </w:rPr>
        <w:t> </w:t>
      </w:r>
      <w:r w:rsidRPr="001E09DC">
        <w:rPr>
          <w:color w:val="4E4E4E"/>
          <w:sz w:val="28"/>
          <w:szCs w:val="28"/>
        </w:rPr>
        <w:t>таможенной стоимости дано в Таможенном кодексе, где (ч. 1 ст. 1 17) под таможенной стоимостью понимается основа для исчисления таможенной пошлины, акцизов и таможенных сборов.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Наряду с термином "таможенная стоимость" в Законе используется и другой — "таможенная оценка"</w:t>
      </w:r>
      <w:r w:rsidRPr="001E09DC">
        <w:rPr>
          <w:i/>
          <w:iCs/>
          <w:color w:val="4E4E4E"/>
          <w:sz w:val="28"/>
          <w:szCs w:val="28"/>
        </w:rPr>
        <w:t>,</w:t>
      </w:r>
      <w:r w:rsidRPr="001E09DC">
        <w:rPr>
          <w:color w:val="4E4E4E"/>
          <w:sz w:val="28"/>
          <w:szCs w:val="28"/>
        </w:rPr>
        <w:t xml:space="preserve"> более точно </w:t>
      </w:r>
      <w:proofErr w:type="gramStart"/>
      <w:r w:rsidRPr="001E09DC">
        <w:rPr>
          <w:color w:val="4E4E4E"/>
          <w:sz w:val="28"/>
          <w:szCs w:val="28"/>
        </w:rPr>
        <w:t>учитывающий</w:t>
      </w:r>
      <w:proofErr w:type="gramEnd"/>
      <w:r w:rsidRPr="001E09DC">
        <w:rPr>
          <w:color w:val="4E4E4E"/>
          <w:sz w:val="28"/>
          <w:szCs w:val="28"/>
        </w:rPr>
        <w:t xml:space="preserve"> специфику отдельных методов определения стоимости товаров в таможенных целях (об этом подробно в разделе IV (ст. 18-24) Закона “О таможенном тарифе”). При использовании одних методов таможенная стоимость устанавливается на основе документальных данных (внешнеторговые контракты, счета-фактуры, консульские фактуры и т, д.), другие же методы предполагают оценку стоимости товаров в таможенных целях, осуществление которой возложено на таможенные органы.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В Законе РФ "О таможенном тарифе" (ст. 5) таможенная стоимость определяется через перечисление ее основных целей: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1. Обложения товара пошлиной.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2. Внешнеэкономической и таможенной статистики.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3. Применения нетарифных мер государственного регулирования торгово-экономических отношений (квотирования, лицензирования), включая осуществление валютного контроля внешнеторговых сделок.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В пункте 1 статьи 12 Закона “О таможенном тарифе” закреплено, что основным принципом российского законодательства по этому вопросу является его соответствие общим правилам таможенной оценки, принятым в международной практике.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Определение стоимости импортного товара с целью расчета таможенных пошлин — одна из наиболее сложных процедур таможенной практики. Долгое время методы оценки таможенной стоимости в разных государствах значительно отличались друг от друга. В одних странах ввозные таможенные пошлины взимались с цены фоб</w:t>
      </w:r>
      <w:r w:rsidRPr="001E09DC">
        <w:rPr>
          <w:i/>
          <w:iCs/>
          <w:color w:val="4E4E4E"/>
          <w:sz w:val="28"/>
          <w:szCs w:val="28"/>
        </w:rPr>
        <w:t>,</w:t>
      </w:r>
      <w:r w:rsidRPr="001E09DC">
        <w:rPr>
          <w:color w:val="4E4E4E"/>
          <w:sz w:val="28"/>
          <w:szCs w:val="28"/>
        </w:rPr>
        <w:t xml:space="preserve"> в других — с цены </w:t>
      </w:r>
      <w:proofErr w:type="spellStart"/>
      <w:r w:rsidRPr="001E09DC">
        <w:rPr>
          <w:color w:val="4E4E4E"/>
          <w:sz w:val="28"/>
          <w:szCs w:val="28"/>
        </w:rPr>
        <w:t>сиф</w:t>
      </w:r>
      <w:proofErr w:type="spellEnd"/>
      <w:r w:rsidRPr="001E09DC">
        <w:rPr>
          <w:color w:val="4E4E4E"/>
          <w:sz w:val="28"/>
          <w:szCs w:val="28"/>
        </w:rPr>
        <w:t xml:space="preserve"> (в последнем случае размер пошлины увеличивался примерно на 5%). Пошлины могли исчисляться как с цены, указанной экспортером в товаросопроводительных документах, так и с цены аналогичного товара на мировом рынке. Особое неудобство для экспортеров составляло то, что они не </w:t>
      </w:r>
      <w:proofErr w:type="gramStart"/>
      <w:r w:rsidRPr="001E09DC">
        <w:rPr>
          <w:color w:val="4E4E4E"/>
          <w:sz w:val="28"/>
          <w:szCs w:val="28"/>
        </w:rPr>
        <w:t>знали точно какой метод определения таможенной стоимости будет</w:t>
      </w:r>
      <w:proofErr w:type="gramEnd"/>
      <w:r w:rsidRPr="001E09DC">
        <w:rPr>
          <w:color w:val="4E4E4E"/>
          <w:sz w:val="28"/>
          <w:szCs w:val="28"/>
        </w:rPr>
        <w:t xml:space="preserve"> применен и, следовательно, какова же будет конечная цена продаваемого товара, от которой зависит эффективность внешнеторговой операции.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lastRenderedPageBreak/>
        <w:t>Оставляя неизменной ставку ввозной пошлины, государство-импортер только за счет манипуляций со способами расчета таможенной стоимости может в значительной мере повысить фактический уровень таможенно-тарифной защиты. Развитие международной торговли обусловило процессы унификации правовых норм, регулирующих институт таможенной стоимости. Еще в 1950 году по инициативе ряда западноевропейских государств была заключена Конвенция о создании унифицированной методологии определения таможенной стоимости товаров (так называемая Брюссельская таможенная стоимость). В ней таможенная стоимость была определена как нормальная цена, по которой товар может быть продан в стране назначения в момент приема таможенной декларации. К Брюссельской конвенции присоединились свыше 70 государств. Однако США и Канада Конвенцию не подписали, поэтому вопрос об унификации национальных правил определения таможенной стоимости оставался в повестке дня.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Проходившие в начале 70-х годов многосторонние торговые переговоры в рамках Токийского раунда ГАТТ завершились принятием в 1979 году ряда соглашений, среди которых было и Соглашение о применении статьи VII ГАТТ, иначе именуемое Кодексом о таможенной стоимости ГАТТ. Оно является тем международно-правовым стандартом, которому должно соответствовать российское таможенное законодательство </w:t>
      </w:r>
      <w:proofErr w:type="gramStart"/>
      <w:r w:rsidRPr="001E09DC">
        <w:rPr>
          <w:color w:val="4E4E4E"/>
          <w:sz w:val="28"/>
          <w:szCs w:val="28"/>
        </w:rPr>
        <w:t>согласно пункта</w:t>
      </w:r>
      <w:proofErr w:type="gramEnd"/>
      <w:r w:rsidRPr="001E09DC">
        <w:rPr>
          <w:color w:val="4E4E4E"/>
          <w:sz w:val="28"/>
          <w:szCs w:val="28"/>
        </w:rPr>
        <w:t xml:space="preserve"> 1 статьи 12 Закона РФ "О таможенном тарифе".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В тексте ГАТТ (ч. 2 ст. VII) определено: "Оценка ввезенного товара для таможенных целей должна быть основана на действительной стоимости ввезенного товара, который облагается пошлиной, или аналогичного товара и не должна основываться на стоимости товара отечественного происхождения или на произвольных или фиктивных оценках". В этой же статье ГАТТ (ч. 5) закреплены такие принципы определения таможенной стоимости, как гласность и стабильность правил. Реализация на практике этих принципов позволяет коммерсантам "определить с разумной степенью точности стоимость товаров для таможенных целей" (ст. VII ГАТТ).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Кодекс о таможенной стоимости ГАТТ закрепляет в качестве основного принципа таможенной оценки использование</w:t>
      </w:r>
      <w:r w:rsidRPr="001E09DC">
        <w:rPr>
          <w:b/>
          <w:bCs/>
          <w:color w:val="4E4E4E"/>
          <w:sz w:val="28"/>
          <w:szCs w:val="28"/>
        </w:rPr>
        <w:t> </w:t>
      </w:r>
      <w:r w:rsidRPr="001E09DC">
        <w:rPr>
          <w:color w:val="4E4E4E"/>
          <w:sz w:val="28"/>
          <w:szCs w:val="28"/>
        </w:rPr>
        <w:t>цены сделки</w:t>
      </w:r>
      <w:r w:rsidRPr="001E09DC">
        <w:rPr>
          <w:i/>
          <w:iCs/>
          <w:color w:val="4E4E4E"/>
          <w:sz w:val="28"/>
          <w:szCs w:val="28"/>
        </w:rPr>
        <w:t>,</w:t>
      </w:r>
      <w:r w:rsidRPr="001E09DC">
        <w:rPr>
          <w:color w:val="4E4E4E"/>
          <w:sz w:val="28"/>
          <w:szCs w:val="28"/>
        </w:rPr>
        <w:t> под которой понимается цена, реально уплаченная за импортируемые товары. В цену сделки могут включаться некоторые дополнительные расходы (например, расходы покупателя на лицензионное вознаграждение, комиссионные и брокерские вознаграждения, стоимость упаковки и др.).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Цена, реально уплаченная или подлежащая уплате за товар при его продаже в импортирующую страну, становится (в соответствии с Кодексом о таможенной стоимости ГАТТ) таможенной стоимостью при соблюдении каждого из следующих требований: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lastRenderedPageBreak/>
        <w:t>- Цена сделки или реализация самой сделки не могут зависеть от каких-либо условий, влияющих на цену, кроме условий, определяющих необходимые качественные и количественные характеристики самого товара,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 - Экспортер и импортер не должны быть взаимозависимы.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 - Импортер не возвращает экспортеру прямо или косвенно часть прибыли.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Не должно существовать ограничений в отношении переходящих к импортеру прав пользования и распоряжения оцениваемыми товарами, за исключением ограничений трех видов: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1. ограничений, предусмотренных законодательством импортирующего государства,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2. ограничений того региона, в котором товары могут быть перепроданы,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3. ограничений, не влияющих существенно на контрактную цену.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Если же с помощью изложенных правил не удастся определить таможенную стоимость товара, таможенные органы и импортер консультируются на предмет определения таможенной стоимости на базе альтернативных методов (с использованием цены идентичного или подобного товара). При невозможности использовать альтернативные методы таможенная стоимость устанавливается на расчетной основе с учетом основных </w:t>
      </w:r>
      <w:proofErr w:type="spellStart"/>
      <w:r w:rsidRPr="001E09DC">
        <w:rPr>
          <w:color w:val="4E4E4E"/>
          <w:sz w:val="28"/>
          <w:szCs w:val="28"/>
        </w:rPr>
        <w:t>ценообразующих</w:t>
      </w:r>
      <w:proofErr w:type="spellEnd"/>
      <w:r w:rsidRPr="001E09DC">
        <w:rPr>
          <w:color w:val="4E4E4E"/>
          <w:sz w:val="28"/>
          <w:szCs w:val="28"/>
        </w:rPr>
        <w:t xml:space="preserve"> элементов: издержек производства, стоимости материалов и сырья, прибыли, а также расходов, связанных с реализацией товара.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Действующий с 1 января 1993 года порядок определения таможенной стоимости товаров, ввозимых на территорию Российской Федерации, утвержден постановлением Правительства РФ от 5 ноября 1992 года № 856. Этот порядок распространяется как на юридические, так и на физические лица.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Некоторые его положения могут уточняться в правовых актах ГТК (приказах, указаниях и т. д.). Например, порядок определения таможенной стоимости товаров, не предназначенных для производственной или иной коммерческой деятельности, установлен приказом ГТК от 18 октября 1996 года № 645. А в письме ГТК от 20 марта 1995 года № 01-13/3770 содержится разъяснение о том, что в таможенную стоимость несопровождаемого багажа следует включать расходы по его доставке в аэропорт.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Нормы, касающиеся порядка определения таможенной стоимости ввозимых товаров, могут содержаться в правовых актах, издаваемых не только ГТК, но и другими федеральными органами исполнительной власти. Например, в циркулярном письме Министерства экономики РФ от 17 марта 1997 года№ СВ-120/7-190 установлены минимальные цены на водку, </w:t>
      </w:r>
      <w:proofErr w:type="gramStart"/>
      <w:r w:rsidRPr="001E09DC">
        <w:rPr>
          <w:color w:val="4E4E4E"/>
          <w:sz w:val="28"/>
          <w:szCs w:val="28"/>
        </w:rPr>
        <w:t>ликеро-водочную</w:t>
      </w:r>
      <w:proofErr w:type="gramEnd"/>
      <w:r w:rsidRPr="001E09DC">
        <w:rPr>
          <w:color w:val="4E4E4E"/>
          <w:sz w:val="28"/>
          <w:szCs w:val="28"/>
        </w:rPr>
        <w:t xml:space="preserve"> и другую алкогольную продукцию крепостью свыше 28%, производимые на территории Российской Федерации и ввозимые на таможенную территорию Российской Федерации.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lastRenderedPageBreak/>
        <w:t>В пункте 2 статьи 12 Закона “О таможенном тарифе” определено, что порядок расчета таможенной стоимости товаров, вывозимых с таможенной территории Российской Федерации, определяется Правительством РФ. В соответствии с этой нормой было издано постановление Правительства РФ от 7 декабря 1996 года № 1461 “0 порядке определения таможенной стоимости товаров, вывозимых с таможенной территории Российской Федерации".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Таможенная стоимость вывозимых товаров определяется на основе цены сделки, то есть цены, фактически уплаченной или подлежащей уплате при продаже товаров на экспорт.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В таможенную стоимость вывозимых товаров также включаются следующие расходы, понесенные покупателем, но не включенные в фактически уплаченную или подлежащую уплате цену сделки: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1. Комиссионные и брокерские вознаграждения.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bookmarkStart w:id="0" w:name="_GoBack"/>
      <w:r w:rsidRPr="001E09DC">
        <w:rPr>
          <w:color w:val="4E4E4E"/>
          <w:sz w:val="28"/>
          <w:szCs w:val="28"/>
        </w:rPr>
        <w:t xml:space="preserve">2. Стоимость контейнеров и/или другой многооборотной тары, если в </w:t>
      </w:r>
      <w:bookmarkEnd w:id="0"/>
      <w:r w:rsidRPr="001E09DC">
        <w:rPr>
          <w:color w:val="4E4E4E"/>
          <w:sz w:val="28"/>
          <w:szCs w:val="28"/>
        </w:rPr>
        <w:t>соответствии с товарной номенклатурой внешнеэкономической деятельности она рассматривается как единое целое с вывозимыми товарами.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3. Стоимость упаковки, включая стоимость упаковочных материалов и работ по упаковке.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4. Соответствующая часть стоимости предоставленных покупателем продавцу бесплатно или по сниженной цене для производства или продажи на экспорт вывозимых товаров следующих товаров, работ и услуг.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5. Лицензионные и иные платежи за использование объектов интеллектуальной собственности, которые покупатель прямо или косвенно должен осуществить в качестве условия покупки вывозимых товаров.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6. Поступающая продавцу прямо или косвенно часть дохода от последующих перепродаж, передачи или использования покупателем товаров после их вывоза с таможенной территории Российской Федерации.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7. Налоги (за исключением таможенных платежей, уплачиваемых при заявлении таможенной стоимости), взимаемые на таможенной территории Российской Федерации, если в соответствии с налоговым законодательством или международными договорами Российской Федерации они не подлежат компенсации продавцу при вывозе товаров с таможенной территории Российской Федерации.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proofErr w:type="gramStart"/>
      <w:r w:rsidRPr="001E09DC">
        <w:rPr>
          <w:color w:val="4E4E4E"/>
          <w:sz w:val="28"/>
          <w:szCs w:val="28"/>
        </w:rPr>
        <w:t xml:space="preserve">Если товары вывозятся с российской таможенной территории при отсутствии сделки купли-продажи или если оказывается невозможным использовать цену сделки купли-продажи в качестве основы для определения таможенной стоимости, таможенная стоимость вывозимых товаров определяется либо исходя из представленных декларантом данных бухгалтерского учета продавца-экспортера, отражающих его затраты на производство и реализацию вывозимого товара, и величины прибыли, получаемой экспортером при вывозе </w:t>
      </w:r>
      <w:r w:rsidRPr="001E09DC">
        <w:rPr>
          <w:color w:val="4E4E4E"/>
          <w:sz w:val="28"/>
          <w:szCs w:val="28"/>
        </w:rPr>
        <w:lastRenderedPageBreak/>
        <w:t>идентичных или однородных товаров</w:t>
      </w:r>
      <w:proofErr w:type="gramEnd"/>
      <w:r w:rsidRPr="001E09DC">
        <w:rPr>
          <w:color w:val="4E4E4E"/>
          <w:sz w:val="28"/>
          <w:szCs w:val="28"/>
        </w:rPr>
        <w:t xml:space="preserve"> с таможенной территории Российской Федерации, либо на основе бухгалтерских данных об оприходовании и списании с баланса вывозимых товаров.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В случае невозможности использования перечисленных сведений, представленных декларантом, таможенная стоимость вывозимого </w:t>
      </w:r>
      <w:proofErr w:type="gramStart"/>
      <w:r w:rsidRPr="001E09DC">
        <w:rPr>
          <w:color w:val="4E4E4E"/>
          <w:sz w:val="28"/>
          <w:szCs w:val="28"/>
        </w:rPr>
        <w:t>-т</w:t>
      </w:r>
      <w:proofErr w:type="gramEnd"/>
      <w:r w:rsidRPr="001E09DC">
        <w:rPr>
          <w:color w:val="4E4E4E"/>
          <w:sz w:val="28"/>
          <w:szCs w:val="28"/>
        </w:rPr>
        <w:t>овара определяется на основе сведений о ценах на идентичные или однородные товары, либо исходя из калькуляции стоимости (себестоимости) вывозимых идентичных или однородных товаров с учетом вышеперечисленных расходов (</w:t>
      </w:r>
      <w:proofErr w:type="spellStart"/>
      <w:r w:rsidRPr="001E09DC">
        <w:rPr>
          <w:color w:val="4E4E4E"/>
          <w:sz w:val="28"/>
          <w:szCs w:val="28"/>
        </w:rPr>
        <w:t>пп</w:t>
      </w:r>
      <w:proofErr w:type="spellEnd"/>
      <w:r w:rsidRPr="001E09DC">
        <w:rPr>
          <w:color w:val="4E4E4E"/>
          <w:sz w:val="28"/>
          <w:szCs w:val="28"/>
        </w:rPr>
        <w:t>. "1" — "7"). Определения идентичных и однородных товаров содержатся в статье 20 и статье 21 Закона РФ "О таможенном тарифе".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2. Заявление таможенной стоимости.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В статье 13 Закона “О таможенном тарифе”</w:t>
      </w:r>
      <w:r w:rsidRPr="001E09DC">
        <w:rPr>
          <w:i/>
          <w:iCs/>
          <w:color w:val="4E4E4E"/>
          <w:sz w:val="28"/>
          <w:szCs w:val="28"/>
        </w:rPr>
        <w:t> </w:t>
      </w:r>
      <w:r w:rsidRPr="001E09DC">
        <w:rPr>
          <w:color w:val="4E4E4E"/>
          <w:sz w:val="28"/>
          <w:szCs w:val="28"/>
        </w:rPr>
        <w:t>закрепляются основы заявления таможенной стоимости. Статья не является нормой прямого действия. Порядок и условия заявления таможенной стоимости товаров, ввозимых на территорию Российской Федерации, закреплены в соответствующем Положении, утвержденном приказом ГТК от 5 января 1994 года № 1. Предписания Положения действуют в отношении всех лиц, которые декларируют товары, перемещаемые через российскую таможенную границу, кроме физических лиц, ввозящих товары не для коммерческих целей.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Существуют два способа заявления таможенной стоимости. Первый предполагает использование специальной формы декларации, а второй допускает заявление таможенной стоимости в ГТД.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Формы деклараций таможенной стоимости ДТС-1 и ДТС-2</w:t>
      </w:r>
      <w:r w:rsidRPr="001E09DC">
        <w:rPr>
          <w:i/>
          <w:iCs/>
          <w:color w:val="4E4E4E"/>
          <w:sz w:val="28"/>
          <w:szCs w:val="28"/>
        </w:rPr>
        <w:t> </w:t>
      </w:r>
      <w:r w:rsidRPr="001E09DC">
        <w:rPr>
          <w:color w:val="4E4E4E"/>
          <w:sz w:val="28"/>
          <w:szCs w:val="28"/>
        </w:rPr>
        <w:t>применяются в том случае, когда ввозимые товары облагаются таможенными пошлинами и иными таможенными налогами (НДС, акцизами) в соответствии с заявленными таможенными режимами. Если же декларируемые таможенные режимы не предусматривают обложение таможенными налогами, таможенная стоимость может быть заявлена в ГТД. В последнем случае таможенный орган сохраняет за собой право требовать от декларанта заполнения специальной декларации таможенной стоимости при возникновении обоснованных сомнений в отношении заявленной таможенной стоимости.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ДТС рассматривается как приложение к ГТД и без </w:t>
      </w:r>
      <w:proofErr w:type="gramStart"/>
      <w:r w:rsidRPr="001E09DC">
        <w:rPr>
          <w:color w:val="4E4E4E"/>
          <w:sz w:val="28"/>
          <w:szCs w:val="28"/>
        </w:rPr>
        <w:t>последней</w:t>
      </w:r>
      <w:proofErr w:type="gramEnd"/>
      <w:r w:rsidRPr="001E09DC">
        <w:rPr>
          <w:color w:val="4E4E4E"/>
          <w:sz w:val="28"/>
          <w:szCs w:val="28"/>
        </w:rPr>
        <w:t xml:space="preserve"> недействительна. ДТС является документом, необходимым для таможенных целей.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Сформулированы следующие требования оформления ДТС. Декларация заполняется на русском языке на пишущей машинке или на печатающем устройстве компьютера. В ней не должно быть подчисток и помарок. Каждое исправление заявленных сведений производится только самим декларантом (путем вычеркивания ошибочных сведений и добавления необходимых данных путем </w:t>
      </w:r>
      <w:proofErr w:type="spellStart"/>
      <w:r w:rsidRPr="001E09DC">
        <w:rPr>
          <w:color w:val="4E4E4E"/>
          <w:sz w:val="28"/>
          <w:szCs w:val="28"/>
        </w:rPr>
        <w:t>надпечатывания</w:t>
      </w:r>
      <w:proofErr w:type="spellEnd"/>
      <w:r w:rsidRPr="001E09DC">
        <w:rPr>
          <w:color w:val="4E4E4E"/>
          <w:sz w:val="28"/>
          <w:szCs w:val="28"/>
        </w:rPr>
        <w:t xml:space="preserve"> или </w:t>
      </w:r>
      <w:proofErr w:type="spellStart"/>
      <w:r w:rsidRPr="001E09DC">
        <w:rPr>
          <w:color w:val="4E4E4E"/>
          <w:sz w:val="28"/>
          <w:szCs w:val="28"/>
        </w:rPr>
        <w:t>надписывания</w:t>
      </w:r>
      <w:proofErr w:type="spellEnd"/>
      <w:r w:rsidRPr="001E09DC">
        <w:rPr>
          <w:color w:val="4E4E4E"/>
          <w:sz w:val="28"/>
          <w:szCs w:val="28"/>
        </w:rPr>
        <w:t xml:space="preserve"> синей или черной шариковой ручкой) и должно быть заверено его подписью. Каждый лист ДТС обязательно подписывается декларантом. ДТС, </w:t>
      </w:r>
      <w:proofErr w:type="gramStart"/>
      <w:r w:rsidRPr="001E09DC">
        <w:rPr>
          <w:color w:val="4E4E4E"/>
          <w:sz w:val="28"/>
          <w:szCs w:val="28"/>
        </w:rPr>
        <w:t>заполненные</w:t>
      </w:r>
      <w:proofErr w:type="gramEnd"/>
      <w:r w:rsidRPr="001E09DC">
        <w:rPr>
          <w:color w:val="4E4E4E"/>
          <w:sz w:val="28"/>
          <w:szCs w:val="28"/>
        </w:rPr>
        <w:t xml:space="preserve"> неразборчиво, с </w:t>
      </w:r>
      <w:r w:rsidRPr="001E09DC">
        <w:rPr>
          <w:color w:val="4E4E4E"/>
          <w:sz w:val="28"/>
          <w:szCs w:val="28"/>
        </w:rPr>
        <w:lastRenderedPageBreak/>
        <w:t>исправлениями, не заверенными декларантом, не принимаются таможенным органом.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ДТС заполняется в трех экземплярах: первый остается в таможенном органе, второй передается декларанту (экземпляр покупателя), а третий экземпляр направляется в соответствующее региональное таможенное управление.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 xml:space="preserve">Таможенный орган регистрирует ДТС одновременно с ГТД и присваивает ей тот же регистрационный номер, что и ГТД. После принятия ДТС таможенным органом все производимые им корректировки таможенной стоимости, заявленной декларантом, </w:t>
      </w:r>
      <w:proofErr w:type="gramStart"/>
      <w:r w:rsidRPr="001E09DC">
        <w:rPr>
          <w:color w:val="4E4E4E"/>
          <w:sz w:val="28"/>
          <w:szCs w:val="28"/>
        </w:rPr>
        <w:t>рассматриваются</w:t>
      </w:r>
      <w:proofErr w:type="gramEnd"/>
      <w:r w:rsidRPr="001E09DC">
        <w:rPr>
          <w:color w:val="4E4E4E"/>
          <w:sz w:val="28"/>
          <w:szCs w:val="28"/>
        </w:rPr>
        <w:t xml:space="preserve"> как таможенная оценка товаров и могут быть обжалованы декларантом в порядке, предусмотренном разделом XIII Таможенного кодекса.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В случае изменения таможенной стоимости заполняется специальная форма корректировки таможенной стоимости и таможенных платежей — КТС-1 и КТС-</w:t>
      </w:r>
      <w:r w:rsidRPr="001E09DC">
        <w:rPr>
          <w:i/>
          <w:iCs/>
          <w:color w:val="4E4E4E"/>
          <w:sz w:val="28"/>
          <w:szCs w:val="28"/>
        </w:rPr>
        <w:t>2.</w:t>
      </w:r>
      <w:r w:rsidRPr="001E09DC">
        <w:rPr>
          <w:color w:val="4E4E4E"/>
          <w:sz w:val="28"/>
          <w:szCs w:val="28"/>
        </w:rPr>
        <w:t> Инструкция по заполнению форм КТС-1 и КТС-2 является приложением к приказу ГТК от 3 марта 1997 года № 97. Формы КТС-1 и КТС-2 — неотъемлемая часть той ГТД, данные которой подлежат корректировке в отношении таможенной стоимости.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Комплект КТС состоит из четырех основных сброшюрованных листов формы КТС-1. Основной лист КТС-1 используется для указания сведений о корректировке таможенной стоимости и таможенных платежей товара одного названия (одна и та же классификация по ТН ВЭД на уровне девятого знака), если в отношении таких товаров установлен один и тот же таможенный режим.</w:t>
      </w:r>
    </w:p>
    <w:p w:rsidR="001E09DC" w:rsidRPr="001E09DC" w:rsidRDefault="001E09DC" w:rsidP="001E09DC">
      <w:pPr>
        <w:pStyle w:val="a3"/>
        <w:shd w:val="clear" w:color="auto" w:fill="FFFFFF"/>
        <w:spacing w:before="0" w:beforeAutospacing="0" w:after="150" w:afterAutospacing="0"/>
        <w:rPr>
          <w:color w:val="4E4E4E"/>
          <w:sz w:val="28"/>
          <w:szCs w:val="28"/>
        </w:rPr>
      </w:pPr>
      <w:r w:rsidRPr="001E09DC">
        <w:rPr>
          <w:color w:val="4E4E4E"/>
          <w:sz w:val="28"/>
          <w:szCs w:val="28"/>
        </w:rPr>
        <w:t>Корректировка таможенной стоимости ввозимых товаров может осуществляться в следующих случаях.</w:t>
      </w:r>
    </w:p>
    <w:p w:rsidR="001E09DC" w:rsidRPr="001E09DC" w:rsidRDefault="001E09DC" w:rsidP="001E09D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36"/>
          <w:szCs w:val="36"/>
          <w:lang w:eastAsia="ru-RU"/>
        </w:rPr>
      </w:pPr>
    </w:p>
    <w:p w:rsidR="00DE760C" w:rsidRPr="001E09DC" w:rsidRDefault="00DE760C" w:rsidP="001E09DC">
      <w:pPr>
        <w:shd w:val="clear" w:color="auto" w:fill="FFFFFF"/>
        <w:spacing w:after="255" w:line="360" w:lineRule="auto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</w:p>
    <w:p w:rsidR="00DE760C" w:rsidRPr="00DE760C" w:rsidRDefault="00DE760C" w:rsidP="00DE760C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DE760C" w:rsidRPr="00DE760C" w:rsidRDefault="00DE760C" w:rsidP="00DE760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Список литературы:</w:t>
      </w:r>
    </w:p>
    <w:p w:rsidR="00DE760C" w:rsidRPr="00DE760C" w:rsidRDefault="00DE760C" w:rsidP="00DE760C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Налоговый кодекс Российской Федерации (часть вторая) от 05.08.2000 N 117-ФЗ (ред. от 11.10.2018).</w:t>
      </w:r>
    </w:p>
    <w:p w:rsidR="00DE760C" w:rsidRPr="00DE760C" w:rsidRDefault="00DE760C" w:rsidP="00DE760C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Борисов, С.М. Таможенный союз: совместное взимание ввозных таможенных пошлин. / С.М. Борисов. // Деньги и кредит. - №8. - 2018. - С. 33-36.</w:t>
      </w:r>
    </w:p>
    <w:p w:rsidR="00DE760C" w:rsidRPr="00DE760C" w:rsidRDefault="00DE760C" w:rsidP="00DE760C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Правила «Инкотермс-2020». URL: https://www.alta.ru/information/glossarium/инкотермс_2020_incoterms_2020/ (дата обращения: 04.04.2022)</w:t>
      </w:r>
    </w:p>
    <w:p w:rsidR="00DE760C" w:rsidRPr="00DE760C" w:rsidRDefault="00DE760C" w:rsidP="00DE760C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Блау</w:t>
      </w:r>
      <w:proofErr w:type="spellEnd"/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С.Б., Романова Ю.М. Страхование внешнеэкономической деятельности. Учебное пособие. — М.: Дашков и Ко, 2018. — 176 с.</w:t>
      </w:r>
    </w:p>
    <w:p w:rsidR="00DE760C" w:rsidRPr="00DE760C" w:rsidRDefault="00DE760C" w:rsidP="00DE760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ТН ВЭД. Раздел 16 Глава 85. URL: https://classinform.ru/tn-ved/razdel-16.html (дата обращения: 17.03.2022).</w:t>
      </w: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Пожалуйста, не забудьте правильно оформить цитату:</w:t>
      </w:r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Саркисова И.А. ФАКТОРЫ ФОРМИРОВАНИЯ ТАМОЖЕННОЙ СТОИМОСТИ ЭЛЕКТРОБЫТОВОЙ И ЭЛЕКТРОННОЙ ТЕХНИКИ // Студенческий: электрон</w:t>
      </w:r>
      <w:proofErr w:type="gramStart"/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  <w:proofErr w:type="gramEnd"/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</w:t>
      </w:r>
      <w:proofErr w:type="gramEnd"/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аучн</w:t>
      </w:r>
      <w:proofErr w:type="spellEnd"/>
      <w:r w:rsidRPr="00DE760C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 журн. 2022. № 16(186). URL: https://sibac.info/journal/student/186/248891 (дата обращения: 24.05.2022).</w:t>
      </w:r>
    </w:p>
    <w:p w:rsidR="00930D11" w:rsidRDefault="00930D11" w:rsidP="00DE760C">
      <w:pPr>
        <w:spacing w:line="360" w:lineRule="auto"/>
        <w:jc w:val="both"/>
      </w:pPr>
    </w:p>
    <w:sectPr w:rsidR="00930D11" w:rsidSect="00F26B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104"/>
    <w:multiLevelType w:val="multilevel"/>
    <w:tmpl w:val="4FD4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67"/>
    <w:rsid w:val="001E09DC"/>
    <w:rsid w:val="004536FD"/>
    <w:rsid w:val="008E7E67"/>
    <w:rsid w:val="00930D11"/>
    <w:rsid w:val="00B70204"/>
    <w:rsid w:val="00DE760C"/>
    <w:rsid w:val="00F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ac.info/author/sarkisova-irina-armen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2022-05-24T14:54:00Z</dcterms:created>
  <dcterms:modified xsi:type="dcterms:W3CDTF">2022-05-25T09:13:00Z</dcterms:modified>
</cp:coreProperties>
</file>