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72298" w14:textId="7D9DFCE5" w:rsidR="000905A8" w:rsidRPr="0058037A" w:rsidRDefault="0058037A" w:rsidP="00EA37D5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037A">
        <w:rPr>
          <w:rFonts w:ascii="Times New Roman" w:hAnsi="Times New Roman" w:cs="Times New Roman"/>
          <w:bCs/>
          <w:sz w:val="28"/>
          <w:szCs w:val="28"/>
        </w:rPr>
        <w:t xml:space="preserve">Сравнительный анализ рынка жилой недвижимости города </w:t>
      </w:r>
      <w:r w:rsidR="00715BF4">
        <w:rPr>
          <w:rFonts w:ascii="Times New Roman" w:hAnsi="Times New Roman" w:cs="Times New Roman"/>
          <w:bCs/>
          <w:sz w:val="28"/>
          <w:szCs w:val="28"/>
        </w:rPr>
        <w:t>Б</w:t>
      </w:r>
      <w:r w:rsidRPr="0058037A">
        <w:rPr>
          <w:rFonts w:ascii="Times New Roman" w:hAnsi="Times New Roman" w:cs="Times New Roman"/>
          <w:bCs/>
          <w:sz w:val="28"/>
          <w:szCs w:val="28"/>
        </w:rPr>
        <w:t>арнаула</w:t>
      </w:r>
    </w:p>
    <w:p w14:paraId="1B9300D8" w14:textId="3DE9B273" w:rsidR="00496718" w:rsidRPr="0058037A" w:rsidRDefault="00076B4E" w:rsidP="00EA37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8037A">
        <w:rPr>
          <w:rFonts w:ascii="Times New Roman" w:hAnsi="Times New Roman" w:cs="Times New Roman"/>
          <w:sz w:val="28"/>
          <w:szCs w:val="28"/>
        </w:rPr>
        <w:t>Хвостикова</w:t>
      </w:r>
      <w:proofErr w:type="spellEnd"/>
      <w:r w:rsidR="007B35B6">
        <w:rPr>
          <w:rFonts w:ascii="Times New Roman" w:hAnsi="Times New Roman" w:cs="Times New Roman"/>
          <w:sz w:val="28"/>
          <w:szCs w:val="28"/>
        </w:rPr>
        <w:t xml:space="preserve"> Евгения Сергеевна</w:t>
      </w:r>
    </w:p>
    <w:p w14:paraId="131F56A1" w14:textId="77777777" w:rsidR="007B35B6" w:rsidRDefault="00D23395" w:rsidP="00EA37D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037A">
        <w:rPr>
          <w:rFonts w:ascii="Times New Roman" w:hAnsi="Times New Roman" w:cs="Times New Roman"/>
          <w:i/>
          <w:sz w:val="28"/>
          <w:szCs w:val="28"/>
        </w:rPr>
        <w:t>КГБ</w:t>
      </w:r>
      <w:r w:rsidR="00F3028C" w:rsidRPr="0058037A">
        <w:rPr>
          <w:rFonts w:ascii="Times New Roman" w:hAnsi="Times New Roman" w:cs="Times New Roman"/>
          <w:i/>
          <w:sz w:val="28"/>
          <w:szCs w:val="28"/>
        </w:rPr>
        <w:t>ПОУ «</w:t>
      </w:r>
      <w:r w:rsidR="000905A8" w:rsidRPr="0058037A">
        <w:rPr>
          <w:rFonts w:ascii="Times New Roman" w:hAnsi="Times New Roman" w:cs="Times New Roman"/>
          <w:i/>
          <w:sz w:val="28"/>
          <w:szCs w:val="28"/>
        </w:rPr>
        <w:t>Алтайский промышленно-экономический колледж</w:t>
      </w:r>
      <w:r w:rsidR="00F3028C" w:rsidRPr="0058037A">
        <w:rPr>
          <w:rFonts w:ascii="Times New Roman" w:hAnsi="Times New Roman" w:cs="Times New Roman"/>
          <w:i/>
          <w:sz w:val="28"/>
          <w:szCs w:val="28"/>
        </w:rPr>
        <w:t>»</w:t>
      </w:r>
      <w:r w:rsidR="00AA6C6C" w:rsidRPr="0058037A">
        <w:rPr>
          <w:rFonts w:ascii="Times New Roman" w:hAnsi="Times New Roman" w:cs="Times New Roman"/>
          <w:i/>
          <w:sz w:val="28"/>
          <w:szCs w:val="28"/>
        </w:rPr>
        <w:t>,</w:t>
      </w:r>
      <w:r w:rsidR="007B35B6">
        <w:rPr>
          <w:rFonts w:ascii="Times New Roman" w:hAnsi="Times New Roman" w:cs="Times New Roman"/>
          <w:i/>
          <w:sz w:val="28"/>
          <w:szCs w:val="28"/>
        </w:rPr>
        <w:t xml:space="preserve"> 3 курс, </w:t>
      </w:r>
    </w:p>
    <w:p w14:paraId="59759798" w14:textId="74FFC46C" w:rsidR="006C4E60" w:rsidRPr="0058037A" w:rsidRDefault="007B35B6" w:rsidP="00EA37D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21.02.05 Земельно-имущественные отношения</w:t>
      </w:r>
    </w:p>
    <w:p w14:paraId="0F4576AB" w14:textId="77777777" w:rsidR="00F3028C" w:rsidRPr="0058037A" w:rsidRDefault="00940190" w:rsidP="00EA37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7A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 w:rsidR="00FC7402" w:rsidRPr="0058037A">
        <w:rPr>
          <w:rFonts w:ascii="Times New Roman" w:hAnsi="Times New Roman" w:cs="Times New Roman"/>
          <w:sz w:val="28"/>
          <w:szCs w:val="28"/>
        </w:rPr>
        <w:t xml:space="preserve"> </w:t>
      </w:r>
      <w:r w:rsidR="00F3028C" w:rsidRPr="0058037A">
        <w:rPr>
          <w:rFonts w:ascii="Times New Roman" w:hAnsi="Times New Roman" w:cs="Times New Roman"/>
          <w:sz w:val="28"/>
          <w:szCs w:val="28"/>
        </w:rPr>
        <w:t>Проведен анализ рынка жилой недвижимости Алтайского края. В статье исследуется влияние особенностей рынка недвижимости на ценовую конъюнктуру, проводится анализ факторов, воздействующих на ценовую динамику рынка недвижимости.</w:t>
      </w:r>
    </w:p>
    <w:p w14:paraId="765D3F85" w14:textId="0FF45FE5" w:rsidR="006C4E60" w:rsidRPr="0058037A" w:rsidRDefault="00940190" w:rsidP="00EA37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7A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58037A">
        <w:rPr>
          <w:rFonts w:ascii="Times New Roman" w:hAnsi="Times New Roman" w:cs="Times New Roman"/>
          <w:sz w:val="28"/>
          <w:szCs w:val="28"/>
        </w:rPr>
        <w:t xml:space="preserve"> </w:t>
      </w:r>
      <w:r w:rsidR="00AA6C6C" w:rsidRPr="0058037A">
        <w:rPr>
          <w:rFonts w:ascii="Times New Roman" w:hAnsi="Times New Roman" w:cs="Times New Roman"/>
          <w:sz w:val="28"/>
          <w:szCs w:val="28"/>
        </w:rPr>
        <w:t xml:space="preserve">недвижимость, </w:t>
      </w:r>
      <w:r w:rsidRPr="0058037A">
        <w:rPr>
          <w:rFonts w:ascii="Times New Roman" w:hAnsi="Times New Roman" w:cs="Times New Roman"/>
          <w:sz w:val="28"/>
          <w:szCs w:val="28"/>
        </w:rPr>
        <w:t>рынок недвижимости, анализ рынка недвижимости</w:t>
      </w:r>
    </w:p>
    <w:p w14:paraId="725AD15E" w14:textId="7539AB3B" w:rsidR="00D23395" w:rsidRPr="0058037A" w:rsidRDefault="00D23395" w:rsidP="00EA37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7A">
        <w:rPr>
          <w:rFonts w:ascii="Times New Roman" w:hAnsi="Times New Roman" w:cs="Times New Roman"/>
          <w:sz w:val="28"/>
          <w:szCs w:val="28"/>
        </w:rPr>
        <w:t>Целью данного исследования является анализ рынка жилой недвижимости</w:t>
      </w:r>
      <w:r w:rsidR="007B35B6">
        <w:rPr>
          <w:rFonts w:ascii="Times New Roman" w:hAnsi="Times New Roman" w:cs="Times New Roman"/>
          <w:sz w:val="28"/>
          <w:szCs w:val="28"/>
        </w:rPr>
        <w:t xml:space="preserve"> </w:t>
      </w:r>
      <w:r w:rsidRPr="0058037A">
        <w:rPr>
          <w:rFonts w:ascii="Times New Roman" w:hAnsi="Times New Roman" w:cs="Times New Roman"/>
          <w:sz w:val="28"/>
          <w:szCs w:val="28"/>
        </w:rPr>
        <w:t>города Барнаула, оценка влияния физическ</w:t>
      </w:r>
      <w:r w:rsidR="00076B4E" w:rsidRPr="0058037A">
        <w:rPr>
          <w:rFonts w:ascii="Times New Roman" w:hAnsi="Times New Roman" w:cs="Times New Roman"/>
          <w:sz w:val="28"/>
          <w:szCs w:val="28"/>
        </w:rPr>
        <w:t>их</w:t>
      </w:r>
      <w:r w:rsidRPr="0058037A">
        <w:rPr>
          <w:rFonts w:ascii="Times New Roman" w:hAnsi="Times New Roman" w:cs="Times New Roman"/>
          <w:sz w:val="28"/>
          <w:szCs w:val="28"/>
        </w:rPr>
        <w:t>, макроэкономических и территориальных факторов на спрос на жилую недвижимость.</w:t>
      </w:r>
    </w:p>
    <w:p w14:paraId="211EED53" w14:textId="07A5F076" w:rsidR="00F3028C" w:rsidRPr="0058037A" w:rsidRDefault="006C4E60" w:rsidP="00EA37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7A">
        <w:rPr>
          <w:rFonts w:ascii="Times New Roman" w:hAnsi="Times New Roman" w:cs="Times New Roman"/>
          <w:sz w:val="28"/>
          <w:szCs w:val="28"/>
        </w:rPr>
        <w:t>Объект исследования является</w:t>
      </w:r>
      <w:r w:rsidR="00D23395" w:rsidRPr="0058037A">
        <w:rPr>
          <w:rFonts w:ascii="Times New Roman" w:hAnsi="Times New Roman" w:cs="Times New Roman"/>
          <w:sz w:val="28"/>
          <w:szCs w:val="28"/>
        </w:rPr>
        <w:t xml:space="preserve"> жилая недвижимость г</w:t>
      </w:r>
      <w:r w:rsidR="0058037A">
        <w:rPr>
          <w:rFonts w:ascii="Times New Roman" w:hAnsi="Times New Roman" w:cs="Times New Roman"/>
          <w:sz w:val="28"/>
          <w:szCs w:val="28"/>
        </w:rPr>
        <w:t>орода</w:t>
      </w:r>
      <w:r w:rsidR="00D23395" w:rsidRPr="0058037A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58037A">
        <w:rPr>
          <w:rFonts w:ascii="Times New Roman" w:hAnsi="Times New Roman" w:cs="Times New Roman"/>
          <w:sz w:val="28"/>
          <w:szCs w:val="28"/>
        </w:rPr>
        <w:t>.</w:t>
      </w:r>
    </w:p>
    <w:p w14:paraId="3A834B77" w14:textId="4FC3338C" w:rsidR="00F3028C" w:rsidRPr="0058037A" w:rsidRDefault="00D23395" w:rsidP="00EA37D5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037A">
        <w:rPr>
          <w:rFonts w:ascii="Times New Roman" w:hAnsi="Times New Roman" w:cs="Times New Roman"/>
          <w:sz w:val="28"/>
          <w:szCs w:val="28"/>
        </w:rPr>
        <w:t>Предмет</w:t>
      </w:r>
      <w:r w:rsidR="006C4E60" w:rsidRPr="0058037A">
        <w:rPr>
          <w:rFonts w:ascii="Times New Roman" w:hAnsi="Times New Roman" w:cs="Times New Roman"/>
          <w:sz w:val="28"/>
          <w:szCs w:val="28"/>
        </w:rPr>
        <w:t>ом исследования выступает</w:t>
      </w:r>
      <w:r w:rsidRPr="0058037A">
        <w:rPr>
          <w:rFonts w:ascii="Times New Roman" w:hAnsi="Times New Roman" w:cs="Times New Roman"/>
          <w:sz w:val="28"/>
          <w:szCs w:val="28"/>
        </w:rPr>
        <w:t xml:space="preserve"> </w:t>
      </w:r>
      <w:r w:rsidR="006C4E60" w:rsidRPr="0058037A">
        <w:rPr>
          <w:rFonts w:ascii="Times New Roman" w:hAnsi="Times New Roman" w:cs="Times New Roman"/>
          <w:sz w:val="28"/>
          <w:szCs w:val="28"/>
        </w:rPr>
        <w:t xml:space="preserve">рыночная </w:t>
      </w:r>
      <w:r w:rsidRPr="0058037A">
        <w:rPr>
          <w:rFonts w:ascii="Times New Roman" w:hAnsi="Times New Roman" w:cs="Times New Roman"/>
          <w:sz w:val="28"/>
          <w:szCs w:val="28"/>
        </w:rPr>
        <w:t>стоимость</w:t>
      </w:r>
      <w:r w:rsidR="00076B4E" w:rsidRPr="0058037A">
        <w:rPr>
          <w:rFonts w:ascii="Times New Roman" w:hAnsi="Times New Roman" w:cs="Times New Roman"/>
          <w:sz w:val="28"/>
          <w:szCs w:val="28"/>
        </w:rPr>
        <w:t xml:space="preserve"> жилой недвижимости</w:t>
      </w:r>
      <w:r w:rsidR="00E02FA0">
        <w:rPr>
          <w:rFonts w:ascii="Times New Roman" w:hAnsi="Times New Roman" w:cs="Times New Roman"/>
          <w:sz w:val="28"/>
          <w:szCs w:val="28"/>
        </w:rPr>
        <w:t xml:space="preserve"> </w:t>
      </w:r>
      <w:r w:rsidR="00076B4E" w:rsidRPr="0058037A">
        <w:rPr>
          <w:rFonts w:ascii="Times New Roman" w:hAnsi="Times New Roman" w:cs="Times New Roman"/>
          <w:sz w:val="28"/>
          <w:szCs w:val="28"/>
        </w:rPr>
        <w:t>г</w:t>
      </w:r>
      <w:r w:rsidR="0058037A">
        <w:rPr>
          <w:rFonts w:ascii="Times New Roman" w:hAnsi="Times New Roman" w:cs="Times New Roman"/>
          <w:sz w:val="28"/>
          <w:szCs w:val="28"/>
        </w:rPr>
        <w:t>орода</w:t>
      </w:r>
      <w:r w:rsidR="00076B4E" w:rsidRPr="0058037A">
        <w:rPr>
          <w:rFonts w:ascii="Times New Roman" w:hAnsi="Times New Roman" w:cs="Times New Roman"/>
          <w:sz w:val="28"/>
          <w:szCs w:val="28"/>
        </w:rPr>
        <w:t xml:space="preserve"> Барнаула.</w:t>
      </w:r>
    </w:p>
    <w:p w14:paraId="59F2E48D" w14:textId="2C9DB22F" w:rsidR="006C4E60" w:rsidRDefault="00940190" w:rsidP="00EA37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37A">
        <w:rPr>
          <w:rFonts w:ascii="Times New Roman" w:hAnsi="Times New Roman" w:cs="Times New Roman"/>
          <w:sz w:val="28"/>
          <w:szCs w:val="28"/>
        </w:rPr>
        <w:t>В качестве методологической основы исследова</w:t>
      </w:r>
      <w:r w:rsidR="004A20A0" w:rsidRPr="0058037A">
        <w:rPr>
          <w:rFonts w:ascii="Times New Roman" w:hAnsi="Times New Roman" w:cs="Times New Roman"/>
          <w:sz w:val="28"/>
          <w:szCs w:val="28"/>
        </w:rPr>
        <w:t>ния были использованы данные</w:t>
      </w:r>
      <w:r w:rsidR="00496718" w:rsidRPr="0058037A">
        <w:rPr>
          <w:rFonts w:ascii="Times New Roman" w:hAnsi="Times New Roman" w:cs="Times New Roman"/>
          <w:sz w:val="28"/>
          <w:szCs w:val="28"/>
        </w:rPr>
        <w:t xml:space="preserve"> базы объявлений о продаже </w:t>
      </w:r>
      <w:r w:rsidR="00F3028C" w:rsidRPr="0058037A">
        <w:rPr>
          <w:rFonts w:ascii="Times New Roman" w:hAnsi="Times New Roman" w:cs="Times New Roman"/>
          <w:sz w:val="28"/>
          <w:szCs w:val="28"/>
        </w:rPr>
        <w:t xml:space="preserve">жилой </w:t>
      </w:r>
      <w:r w:rsidR="00496718" w:rsidRPr="0058037A">
        <w:rPr>
          <w:rFonts w:ascii="Times New Roman" w:hAnsi="Times New Roman" w:cs="Times New Roman"/>
          <w:sz w:val="28"/>
          <w:szCs w:val="28"/>
        </w:rPr>
        <w:t>недвижимости</w:t>
      </w:r>
      <w:r w:rsidR="00F3028C" w:rsidRPr="0058037A">
        <w:rPr>
          <w:rFonts w:ascii="Times New Roman" w:hAnsi="Times New Roman" w:cs="Times New Roman"/>
          <w:sz w:val="28"/>
          <w:szCs w:val="28"/>
        </w:rPr>
        <w:t xml:space="preserve"> (жилые дома)</w:t>
      </w:r>
      <w:r w:rsidR="004A20A0" w:rsidRPr="0058037A">
        <w:rPr>
          <w:rFonts w:ascii="Times New Roman" w:hAnsi="Times New Roman" w:cs="Times New Roman"/>
          <w:sz w:val="28"/>
          <w:szCs w:val="28"/>
        </w:rPr>
        <w:t xml:space="preserve"> </w:t>
      </w:r>
      <w:r w:rsidR="006C4E60" w:rsidRPr="0058037A">
        <w:rPr>
          <w:rFonts w:ascii="Times New Roman" w:hAnsi="Times New Roman" w:cs="Times New Roman"/>
          <w:sz w:val="28"/>
          <w:szCs w:val="28"/>
        </w:rPr>
        <w:t xml:space="preserve">информационных источников Циан, </w:t>
      </w:r>
      <w:proofErr w:type="spellStart"/>
      <w:r w:rsidR="006C4E60" w:rsidRPr="0058037A">
        <w:rPr>
          <w:rFonts w:ascii="Times New Roman" w:hAnsi="Times New Roman" w:cs="Times New Roman"/>
          <w:sz w:val="28"/>
          <w:szCs w:val="28"/>
        </w:rPr>
        <w:t>Авито</w:t>
      </w:r>
      <w:proofErr w:type="spellEnd"/>
      <w:r w:rsidR="006C4E60" w:rsidRPr="0058037A">
        <w:rPr>
          <w:rFonts w:ascii="Times New Roman" w:hAnsi="Times New Roman" w:cs="Times New Roman"/>
          <w:sz w:val="28"/>
          <w:szCs w:val="28"/>
        </w:rPr>
        <w:t xml:space="preserve">. </w:t>
      </w:r>
      <w:r w:rsidR="004A20A0" w:rsidRPr="0058037A">
        <w:rPr>
          <w:rFonts w:ascii="Times New Roman" w:hAnsi="Times New Roman" w:cs="Times New Roman"/>
          <w:sz w:val="28"/>
          <w:szCs w:val="28"/>
        </w:rPr>
        <w:t>На страницах указанн</w:t>
      </w:r>
      <w:r w:rsidR="006C4E60" w:rsidRPr="0058037A">
        <w:rPr>
          <w:rFonts w:ascii="Times New Roman" w:hAnsi="Times New Roman" w:cs="Times New Roman"/>
          <w:sz w:val="28"/>
          <w:szCs w:val="28"/>
        </w:rPr>
        <w:t>ых</w:t>
      </w:r>
      <w:r w:rsidR="004A20A0" w:rsidRPr="0058037A">
        <w:rPr>
          <w:rFonts w:ascii="Times New Roman" w:hAnsi="Times New Roman" w:cs="Times New Roman"/>
          <w:sz w:val="28"/>
          <w:szCs w:val="28"/>
        </w:rPr>
        <w:t xml:space="preserve"> интернет-портал</w:t>
      </w:r>
      <w:r w:rsidR="006C4E60" w:rsidRPr="0058037A">
        <w:rPr>
          <w:rFonts w:ascii="Times New Roman" w:hAnsi="Times New Roman" w:cs="Times New Roman"/>
          <w:sz w:val="28"/>
          <w:szCs w:val="28"/>
        </w:rPr>
        <w:t>ов</w:t>
      </w:r>
      <w:r w:rsidR="004A20A0" w:rsidRPr="0058037A">
        <w:rPr>
          <w:rFonts w:ascii="Times New Roman" w:hAnsi="Times New Roman" w:cs="Times New Roman"/>
          <w:sz w:val="28"/>
          <w:szCs w:val="28"/>
        </w:rPr>
        <w:t xml:space="preserve"> в полном об</w:t>
      </w:r>
      <w:r w:rsidR="00496718" w:rsidRPr="0058037A">
        <w:rPr>
          <w:rFonts w:ascii="Times New Roman" w:hAnsi="Times New Roman" w:cs="Times New Roman"/>
          <w:sz w:val="28"/>
          <w:szCs w:val="28"/>
        </w:rPr>
        <w:t>ъеме представлена</w:t>
      </w:r>
      <w:r w:rsidR="004A20A0" w:rsidRPr="0058037A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="00496718" w:rsidRPr="0058037A">
        <w:rPr>
          <w:rFonts w:ascii="Times New Roman" w:hAnsi="Times New Roman" w:cs="Times New Roman"/>
          <w:sz w:val="28"/>
          <w:szCs w:val="28"/>
        </w:rPr>
        <w:t xml:space="preserve"> об объектах недвижимости, а именно: о застройщиках, новых жил</w:t>
      </w:r>
      <w:r w:rsidR="00FC7402" w:rsidRPr="0058037A">
        <w:rPr>
          <w:rFonts w:ascii="Times New Roman" w:hAnsi="Times New Roman" w:cs="Times New Roman"/>
          <w:sz w:val="28"/>
          <w:szCs w:val="28"/>
        </w:rPr>
        <w:t xml:space="preserve">ых кварталах, рыночная и кадастровая стоимости, местоположение, физические характеристики, сведения о праве собственности и др. </w:t>
      </w:r>
    </w:p>
    <w:p w14:paraId="1B493801" w14:textId="0E9D57CE" w:rsidR="007B35B6" w:rsidRDefault="00616E6E" w:rsidP="00EA37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E6E">
        <w:rPr>
          <w:rFonts w:ascii="Times New Roman" w:hAnsi="Times New Roman" w:cs="Times New Roman"/>
          <w:sz w:val="28"/>
          <w:szCs w:val="28"/>
        </w:rPr>
        <w:t>На рынке недвижимости города Барнаула происходят сделки, как с жилой, так и с коммерческой недвижимостью. В целом рынок хорошо развит, что выражается в большом количестве риэлтерских фирм, оказывающих помощь юридическим и физическим лицам в продаже, покупке и аренде недвижимости, в большом количестве общедоступных печатных изданий, содержащих информацию по ценам предложений на продажу различных объектов.</w:t>
      </w:r>
    </w:p>
    <w:p w14:paraId="3625C2CF" w14:textId="77777777" w:rsidR="00616E6E" w:rsidRPr="00616E6E" w:rsidRDefault="00616E6E" w:rsidP="00EA37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E6E">
        <w:rPr>
          <w:rFonts w:ascii="Times New Roman" w:hAnsi="Times New Roman" w:cs="Times New Roman"/>
          <w:sz w:val="28"/>
          <w:szCs w:val="28"/>
        </w:rPr>
        <w:lastRenderedPageBreak/>
        <w:t xml:space="preserve">Рынок индивидуального жилья подразделяется на рынок частных домов и рынок коттеджей. Коттеджем может считаться особняк с земельным участком, расположенный на территории города или в непосредственной близости к городской черте. Обязательны подключение к городским коммуникациям или автономному тепловому узлу. Как правило, коттеджи располагаются на территории </w:t>
      </w:r>
      <w:proofErr w:type="spellStart"/>
      <w:r w:rsidRPr="00616E6E">
        <w:rPr>
          <w:rFonts w:ascii="Times New Roman" w:hAnsi="Times New Roman" w:cs="Times New Roman"/>
          <w:sz w:val="28"/>
          <w:szCs w:val="28"/>
        </w:rPr>
        <w:t>котеджного</w:t>
      </w:r>
      <w:proofErr w:type="spellEnd"/>
      <w:r w:rsidRPr="00616E6E">
        <w:rPr>
          <w:rFonts w:ascii="Times New Roman" w:hAnsi="Times New Roman" w:cs="Times New Roman"/>
          <w:sz w:val="28"/>
          <w:szCs w:val="28"/>
        </w:rPr>
        <w:t xml:space="preserve"> поселка. Большое значение при выборе </w:t>
      </w:r>
      <w:proofErr w:type="spellStart"/>
      <w:r w:rsidRPr="00616E6E">
        <w:rPr>
          <w:rFonts w:ascii="Times New Roman" w:hAnsi="Times New Roman" w:cs="Times New Roman"/>
          <w:sz w:val="28"/>
          <w:szCs w:val="28"/>
        </w:rPr>
        <w:t>котеджного</w:t>
      </w:r>
      <w:proofErr w:type="spellEnd"/>
      <w:r w:rsidRPr="00616E6E">
        <w:rPr>
          <w:rFonts w:ascii="Times New Roman" w:hAnsi="Times New Roman" w:cs="Times New Roman"/>
          <w:sz w:val="28"/>
          <w:szCs w:val="28"/>
        </w:rPr>
        <w:t xml:space="preserve"> поселка имеет местоположение: окружающий ландшафт, экологическая ситуация, а также, немаловажным фактором является единая социальная среда, т.н. «клубный принцип».</w:t>
      </w:r>
    </w:p>
    <w:p w14:paraId="61AF4A33" w14:textId="77777777" w:rsidR="00616E6E" w:rsidRPr="00616E6E" w:rsidRDefault="00616E6E" w:rsidP="00EA37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E6E">
        <w:rPr>
          <w:rFonts w:ascii="Times New Roman" w:hAnsi="Times New Roman" w:cs="Times New Roman"/>
          <w:sz w:val="28"/>
          <w:szCs w:val="28"/>
        </w:rPr>
        <w:t xml:space="preserve">Ценовой показатель складывается из ряда факторов: местоположения, площади, наличия развитой инфраструктуры, коммуникаций. К более дорогостоящей недвижимости относятся коттеджи и особняки, расположенные в наиболее элитных, экологически чистых местах. Также на стоимость влияет применение для строительства ценного и долговечного вида древесины, наружная отделка зданий, ландшафтные работы, дизайнерские решения в проектировании здания. </w:t>
      </w:r>
    </w:p>
    <w:p w14:paraId="1CBE7FEA" w14:textId="77777777" w:rsidR="00616E6E" w:rsidRPr="00616E6E" w:rsidRDefault="00616E6E" w:rsidP="00EA37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E6E">
        <w:rPr>
          <w:rFonts w:ascii="Times New Roman" w:hAnsi="Times New Roman" w:cs="Times New Roman"/>
          <w:sz w:val="28"/>
          <w:szCs w:val="28"/>
        </w:rPr>
        <w:t xml:space="preserve">Еще один фактор отличия коттеджа (элитного жилья) от обычного частного дома – площадь. Как правило, площадь коттеджа превышает 100 м². Самыми востребованными являются коттеджи площадью от 150 до 350 м², лишь в редких случаях до 500 м². Также отличительным фактором обычного жилого дома от элитного коттеджа является размер земельного участка, ландшафт. На участке размером в 300 – 500 м² можно построить хороший дом, но не добротный коттедж большой </w:t>
      </w:r>
      <w:proofErr w:type="gramStart"/>
      <w:r w:rsidRPr="00616E6E">
        <w:rPr>
          <w:rFonts w:ascii="Times New Roman" w:hAnsi="Times New Roman" w:cs="Times New Roman"/>
          <w:sz w:val="28"/>
          <w:szCs w:val="28"/>
        </w:rPr>
        <w:t>площадью</w:t>
      </w:r>
      <w:proofErr w:type="gramEnd"/>
      <w:r w:rsidRPr="00616E6E">
        <w:rPr>
          <w:rFonts w:ascii="Times New Roman" w:hAnsi="Times New Roman" w:cs="Times New Roman"/>
          <w:sz w:val="28"/>
          <w:szCs w:val="28"/>
        </w:rPr>
        <w:t xml:space="preserve"> и чтобы еще осталось место для уютного двора и возведения различных надворных построек. Соответственно наибольшим спросом для строительства коттеджа пользуются земельные участки площадью свыше 700 м².</w:t>
      </w:r>
    </w:p>
    <w:p w14:paraId="533DF160" w14:textId="77777777" w:rsidR="00616E6E" w:rsidRPr="00616E6E" w:rsidRDefault="00616E6E" w:rsidP="00EA37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E6E">
        <w:rPr>
          <w:rFonts w:ascii="Times New Roman" w:hAnsi="Times New Roman" w:cs="Times New Roman"/>
          <w:sz w:val="28"/>
          <w:szCs w:val="28"/>
        </w:rPr>
        <w:t xml:space="preserve">Наибольший спрос присутствует в сегменте эконом-класса. </w:t>
      </w:r>
    </w:p>
    <w:p w14:paraId="0A61C0A7" w14:textId="1DE571A6" w:rsidR="00616E6E" w:rsidRPr="00616E6E" w:rsidRDefault="00616E6E" w:rsidP="00EA37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E6E">
        <w:rPr>
          <w:rFonts w:ascii="Times New Roman" w:hAnsi="Times New Roman" w:cs="Times New Roman"/>
          <w:sz w:val="28"/>
          <w:szCs w:val="28"/>
        </w:rPr>
        <w:t>Главная и самая очевидная проблема не только загородных поселков, но и в целом строительной отрасли края</w:t>
      </w:r>
      <w:r w:rsidR="00E02FA0">
        <w:rPr>
          <w:rFonts w:ascii="Times New Roman" w:hAnsi="Times New Roman" w:cs="Times New Roman"/>
          <w:sz w:val="28"/>
          <w:szCs w:val="28"/>
        </w:rPr>
        <w:t>-</w:t>
      </w:r>
      <w:r w:rsidRPr="00616E6E">
        <w:rPr>
          <w:rFonts w:ascii="Times New Roman" w:hAnsi="Times New Roman" w:cs="Times New Roman"/>
          <w:sz w:val="28"/>
          <w:szCs w:val="28"/>
        </w:rPr>
        <w:t>инженерная инфраструктура.</w:t>
      </w:r>
    </w:p>
    <w:p w14:paraId="632872CD" w14:textId="77777777" w:rsidR="00616E6E" w:rsidRPr="00616E6E" w:rsidRDefault="00616E6E" w:rsidP="00EA37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E6E">
        <w:rPr>
          <w:rFonts w:ascii="Times New Roman" w:hAnsi="Times New Roman" w:cs="Times New Roman"/>
          <w:sz w:val="28"/>
          <w:szCs w:val="28"/>
        </w:rPr>
        <w:lastRenderedPageBreak/>
        <w:t>На сегодняшний день поблизости от краевой столицы расположено более двадцати коттеджных поселков. И все они не похожи друг на друга: разные по площади, по удаленности от города, по развитости инфраструктуры и, конечно же, разные по ценам на земельные участки</w:t>
      </w:r>
    </w:p>
    <w:p w14:paraId="21C8FBCA" w14:textId="77777777" w:rsidR="00616E6E" w:rsidRPr="00616E6E" w:rsidRDefault="00616E6E" w:rsidP="00EA37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E6E">
        <w:rPr>
          <w:rFonts w:ascii="Times New Roman" w:hAnsi="Times New Roman" w:cs="Times New Roman"/>
          <w:sz w:val="28"/>
          <w:szCs w:val="28"/>
        </w:rPr>
        <w:t xml:space="preserve">Одним из самых дорогих коттеджных поселков является Солнечная Поляна. Чуть ниже по цене и по популярности идут участки в поселках Фирсова Слобода-2, Спутник и Авиатор. Замыкают строчку популярности бывшие советские деревни, где ветхое жилье стоит по соседству с новыми коттеджами: Новомихайловка, </w:t>
      </w:r>
      <w:proofErr w:type="spellStart"/>
      <w:r w:rsidRPr="00616E6E">
        <w:rPr>
          <w:rFonts w:ascii="Times New Roman" w:hAnsi="Times New Roman" w:cs="Times New Roman"/>
          <w:sz w:val="28"/>
          <w:szCs w:val="28"/>
        </w:rPr>
        <w:t>Борзовая</w:t>
      </w:r>
      <w:proofErr w:type="spellEnd"/>
      <w:r w:rsidRPr="00616E6E">
        <w:rPr>
          <w:rFonts w:ascii="Times New Roman" w:hAnsi="Times New Roman" w:cs="Times New Roman"/>
          <w:sz w:val="28"/>
          <w:szCs w:val="28"/>
        </w:rPr>
        <w:t xml:space="preserve"> Заимка, Гоньба, Бобровка и т.д. Но при этом оплата за коммуникации и благоустройство микрорайона будет минимальной.</w:t>
      </w:r>
    </w:p>
    <w:p w14:paraId="489F2984" w14:textId="254A6257" w:rsidR="00616E6E" w:rsidRDefault="00616E6E" w:rsidP="00EA37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E6E">
        <w:rPr>
          <w:rFonts w:ascii="Times New Roman" w:hAnsi="Times New Roman" w:cs="Times New Roman"/>
          <w:sz w:val="28"/>
          <w:szCs w:val="28"/>
        </w:rPr>
        <w:t>Комфортность проживания определяется и наличием всех необходимых коммуникаций. Электричество и вода есть абсолютно во всех поселках. Телефонная связь тоже достаточно распространена. А вот газовое отопление можно провести не в каждом поселке или не на всей территории. В качестве канализационных стоков почти во всех поселках используют выгребные ямы. Лишь в некоторых поселках наличие центральной канализации. Она есть, например, на Солнечной Поляне, Спутнике, Солнечном.</w:t>
      </w:r>
      <w:r w:rsidR="00E02FA0">
        <w:rPr>
          <w:rFonts w:ascii="Times New Roman" w:hAnsi="Times New Roman" w:cs="Times New Roman"/>
          <w:sz w:val="28"/>
          <w:szCs w:val="28"/>
        </w:rPr>
        <w:t xml:space="preserve"> </w:t>
      </w:r>
      <w:r w:rsidR="00E02FA0" w:rsidRPr="00E02FA0">
        <w:rPr>
          <w:rFonts w:ascii="Times New Roman" w:hAnsi="Times New Roman" w:cs="Times New Roman"/>
          <w:sz w:val="28"/>
          <w:szCs w:val="28"/>
        </w:rPr>
        <w:t>Далее представлена таблица классификации котте</w:t>
      </w:r>
      <w:r w:rsidR="00691085">
        <w:rPr>
          <w:rFonts w:ascii="Times New Roman" w:hAnsi="Times New Roman" w:cs="Times New Roman"/>
          <w:sz w:val="28"/>
          <w:szCs w:val="28"/>
        </w:rPr>
        <w:t>джн</w:t>
      </w:r>
      <w:r w:rsidR="00E02FA0" w:rsidRPr="00E02FA0">
        <w:rPr>
          <w:rFonts w:ascii="Times New Roman" w:hAnsi="Times New Roman" w:cs="Times New Roman"/>
          <w:sz w:val="28"/>
          <w:szCs w:val="28"/>
        </w:rPr>
        <w:t>ых поселков города Барнаула.</w:t>
      </w:r>
    </w:p>
    <w:p w14:paraId="31AB5FED" w14:textId="3CB4B0E4" w:rsidR="00EA37D5" w:rsidRPr="00E02FA0" w:rsidRDefault="00EA37D5" w:rsidP="00EA37D5">
      <w:pPr>
        <w:tabs>
          <w:tab w:val="left" w:pos="428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1-К</w:t>
      </w:r>
      <w:r w:rsidRPr="00EA37D5">
        <w:rPr>
          <w:rFonts w:ascii="Times New Roman" w:hAnsi="Times New Roman" w:cs="Times New Roman"/>
          <w:sz w:val="28"/>
          <w:szCs w:val="28"/>
        </w:rPr>
        <w:t>лассификации коттеджных поселков города Барнаула</w:t>
      </w:r>
    </w:p>
    <w:tbl>
      <w:tblPr>
        <w:tblStyle w:val="1"/>
        <w:tblW w:w="1559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2136"/>
        <w:gridCol w:w="1944"/>
        <w:gridCol w:w="2015"/>
        <w:gridCol w:w="1459"/>
        <w:gridCol w:w="1508"/>
        <w:gridCol w:w="1711"/>
        <w:gridCol w:w="1559"/>
      </w:tblGrid>
      <w:tr w:rsidR="00E02FA0" w:rsidRPr="00E02FA0" w14:paraId="46256CBF" w14:textId="77777777" w:rsidTr="00707E3F">
        <w:trPr>
          <w:trHeight w:val="48"/>
        </w:trPr>
        <w:tc>
          <w:tcPr>
            <w:tcW w:w="1560" w:type="dxa"/>
            <w:shd w:val="clear" w:color="auto" w:fill="auto"/>
            <w:vAlign w:val="center"/>
          </w:tcPr>
          <w:p w14:paraId="2B82502B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br w:type="page"/>
              <w:t>Наименование поселка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4A55EA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>Солнечная Поляна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5BCED91C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>Авиатор/Спутник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296BDE9D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>Казенная Заимка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2A4805E7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proofErr w:type="spellStart"/>
            <w:r w:rsidRPr="00F23E6F">
              <w:rPr>
                <w:sz w:val="28"/>
                <w:szCs w:val="28"/>
              </w:rPr>
              <w:t>Власиха</w:t>
            </w:r>
            <w:proofErr w:type="spellEnd"/>
          </w:p>
        </w:tc>
        <w:tc>
          <w:tcPr>
            <w:tcW w:w="1459" w:type="dxa"/>
            <w:shd w:val="clear" w:color="auto" w:fill="auto"/>
            <w:vAlign w:val="center"/>
          </w:tcPr>
          <w:p w14:paraId="281732BB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>Октябрьский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D01F22C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>Сибирская долина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6EB44B56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>Фирсова слобода-2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BB1BC7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>Лебяжье</w:t>
            </w:r>
          </w:p>
        </w:tc>
      </w:tr>
      <w:tr w:rsidR="00E02FA0" w:rsidRPr="00E02FA0" w14:paraId="16CE085A" w14:textId="77777777" w:rsidTr="00707E3F">
        <w:trPr>
          <w:trHeight w:val="48"/>
        </w:trPr>
        <w:tc>
          <w:tcPr>
            <w:tcW w:w="1560" w:type="dxa"/>
            <w:shd w:val="clear" w:color="auto" w:fill="auto"/>
            <w:vAlign w:val="center"/>
          </w:tcPr>
          <w:p w14:paraId="24C9B1DB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1701" w:type="dxa"/>
            <w:vAlign w:val="center"/>
          </w:tcPr>
          <w:p w14:paraId="68B8E98F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>Ленинский район, (Западная часть города)</w:t>
            </w:r>
          </w:p>
        </w:tc>
        <w:tc>
          <w:tcPr>
            <w:tcW w:w="2136" w:type="dxa"/>
            <w:vAlign w:val="center"/>
          </w:tcPr>
          <w:p w14:paraId="18E50C56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>Индустриальный район (Юго-Западная часть города)</w:t>
            </w:r>
          </w:p>
        </w:tc>
        <w:tc>
          <w:tcPr>
            <w:tcW w:w="1944" w:type="dxa"/>
            <w:vAlign w:val="center"/>
          </w:tcPr>
          <w:p w14:paraId="2616FC9C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>Ленинский район, (Западная часть города)</w:t>
            </w:r>
          </w:p>
        </w:tc>
        <w:tc>
          <w:tcPr>
            <w:tcW w:w="2015" w:type="dxa"/>
            <w:vAlign w:val="center"/>
          </w:tcPr>
          <w:p w14:paraId="5AE5BD71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>Индустриальный район (Юго-Западная часть города)</w:t>
            </w:r>
          </w:p>
        </w:tc>
        <w:tc>
          <w:tcPr>
            <w:tcW w:w="1459" w:type="dxa"/>
            <w:vAlign w:val="center"/>
          </w:tcPr>
          <w:p w14:paraId="3AA190E9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>Индустриальный район (Юго-Западная часть города)</w:t>
            </w:r>
          </w:p>
        </w:tc>
        <w:tc>
          <w:tcPr>
            <w:tcW w:w="1508" w:type="dxa"/>
            <w:vAlign w:val="center"/>
          </w:tcPr>
          <w:p w14:paraId="634113F5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>Центральный район (Южная часть города)</w:t>
            </w:r>
          </w:p>
        </w:tc>
        <w:tc>
          <w:tcPr>
            <w:tcW w:w="1711" w:type="dxa"/>
            <w:vAlign w:val="center"/>
          </w:tcPr>
          <w:p w14:paraId="52A78BA0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>Первомайский район</w:t>
            </w:r>
          </w:p>
          <w:p w14:paraId="00A44901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>Восточнее от г. Барнаула</w:t>
            </w:r>
          </w:p>
        </w:tc>
        <w:tc>
          <w:tcPr>
            <w:tcW w:w="1559" w:type="dxa"/>
            <w:vAlign w:val="center"/>
          </w:tcPr>
          <w:p w14:paraId="3991509A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>Центральный район (Южная часть города)</w:t>
            </w:r>
          </w:p>
        </w:tc>
      </w:tr>
      <w:tr w:rsidR="00E02FA0" w:rsidRPr="00E02FA0" w14:paraId="6E1314CD" w14:textId="77777777" w:rsidTr="00707E3F">
        <w:trPr>
          <w:trHeight w:val="66"/>
        </w:trPr>
        <w:tc>
          <w:tcPr>
            <w:tcW w:w="1560" w:type="dxa"/>
            <w:shd w:val="clear" w:color="auto" w:fill="auto"/>
            <w:vAlign w:val="center"/>
          </w:tcPr>
          <w:p w14:paraId="792332EB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 xml:space="preserve">Расстояние до </w:t>
            </w:r>
            <w:r w:rsidRPr="00F23E6F">
              <w:rPr>
                <w:sz w:val="28"/>
                <w:szCs w:val="28"/>
              </w:rPr>
              <w:lastRenderedPageBreak/>
              <w:t>«центра», км.</w:t>
            </w:r>
          </w:p>
        </w:tc>
        <w:tc>
          <w:tcPr>
            <w:tcW w:w="1701" w:type="dxa"/>
            <w:vAlign w:val="center"/>
          </w:tcPr>
          <w:p w14:paraId="5665537C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lastRenderedPageBreak/>
              <w:t>≈ 13</w:t>
            </w:r>
          </w:p>
        </w:tc>
        <w:tc>
          <w:tcPr>
            <w:tcW w:w="2136" w:type="dxa"/>
            <w:vAlign w:val="center"/>
          </w:tcPr>
          <w:p w14:paraId="0840AE77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>≈ 17</w:t>
            </w:r>
          </w:p>
        </w:tc>
        <w:tc>
          <w:tcPr>
            <w:tcW w:w="1944" w:type="dxa"/>
            <w:vAlign w:val="center"/>
          </w:tcPr>
          <w:p w14:paraId="3471CCB8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>≈ 19</w:t>
            </w:r>
          </w:p>
        </w:tc>
        <w:tc>
          <w:tcPr>
            <w:tcW w:w="2015" w:type="dxa"/>
            <w:vAlign w:val="center"/>
          </w:tcPr>
          <w:p w14:paraId="0CC77F3F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>≈ 20</w:t>
            </w:r>
          </w:p>
        </w:tc>
        <w:tc>
          <w:tcPr>
            <w:tcW w:w="1459" w:type="dxa"/>
            <w:vAlign w:val="center"/>
          </w:tcPr>
          <w:p w14:paraId="5C69438A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>≈ 19</w:t>
            </w:r>
          </w:p>
        </w:tc>
        <w:tc>
          <w:tcPr>
            <w:tcW w:w="1508" w:type="dxa"/>
            <w:vAlign w:val="center"/>
          </w:tcPr>
          <w:p w14:paraId="4D50F30D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>≈ 15</w:t>
            </w:r>
          </w:p>
        </w:tc>
        <w:tc>
          <w:tcPr>
            <w:tcW w:w="1711" w:type="dxa"/>
            <w:vAlign w:val="center"/>
          </w:tcPr>
          <w:p w14:paraId="35892578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>≈ 23</w:t>
            </w:r>
          </w:p>
        </w:tc>
        <w:tc>
          <w:tcPr>
            <w:tcW w:w="1559" w:type="dxa"/>
            <w:vAlign w:val="center"/>
          </w:tcPr>
          <w:p w14:paraId="696F4E13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>≈16</w:t>
            </w:r>
          </w:p>
        </w:tc>
      </w:tr>
      <w:tr w:rsidR="00E02FA0" w:rsidRPr="00E02FA0" w14:paraId="2145C77A" w14:textId="77777777" w:rsidTr="00707E3F">
        <w:trPr>
          <w:trHeight w:val="66"/>
        </w:trPr>
        <w:tc>
          <w:tcPr>
            <w:tcW w:w="1560" w:type="dxa"/>
            <w:shd w:val="clear" w:color="auto" w:fill="auto"/>
            <w:vAlign w:val="center"/>
          </w:tcPr>
          <w:p w14:paraId="6D11FDDF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>Население, чел</w:t>
            </w:r>
          </w:p>
        </w:tc>
        <w:tc>
          <w:tcPr>
            <w:tcW w:w="1701" w:type="dxa"/>
            <w:vAlign w:val="center"/>
          </w:tcPr>
          <w:p w14:paraId="66454886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>≈6000</w:t>
            </w:r>
          </w:p>
        </w:tc>
        <w:tc>
          <w:tcPr>
            <w:tcW w:w="2136" w:type="dxa"/>
            <w:vAlign w:val="center"/>
          </w:tcPr>
          <w:p w14:paraId="0AFC27E8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>≈2300</w:t>
            </w:r>
            <w:proofErr w:type="gramStart"/>
            <w:r w:rsidRPr="00F23E6F">
              <w:rPr>
                <w:sz w:val="28"/>
                <w:szCs w:val="28"/>
              </w:rPr>
              <w:t>/  ≈</w:t>
            </w:r>
            <w:proofErr w:type="gramEnd"/>
            <w:r w:rsidRPr="00F23E6F">
              <w:rPr>
                <w:sz w:val="28"/>
                <w:szCs w:val="28"/>
              </w:rPr>
              <w:t>2800</w:t>
            </w:r>
          </w:p>
        </w:tc>
        <w:tc>
          <w:tcPr>
            <w:tcW w:w="1944" w:type="dxa"/>
            <w:vAlign w:val="center"/>
          </w:tcPr>
          <w:p w14:paraId="06939FFD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>≈3000</w:t>
            </w:r>
          </w:p>
        </w:tc>
        <w:tc>
          <w:tcPr>
            <w:tcW w:w="2015" w:type="dxa"/>
            <w:vAlign w:val="center"/>
          </w:tcPr>
          <w:p w14:paraId="686D62EE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>≈9992</w:t>
            </w:r>
          </w:p>
        </w:tc>
        <w:tc>
          <w:tcPr>
            <w:tcW w:w="1459" w:type="dxa"/>
            <w:vAlign w:val="center"/>
          </w:tcPr>
          <w:p w14:paraId="4779433D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>≈ 2500</w:t>
            </w:r>
          </w:p>
        </w:tc>
        <w:tc>
          <w:tcPr>
            <w:tcW w:w="1508" w:type="dxa"/>
            <w:vAlign w:val="center"/>
          </w:tcPr>
          <w:p w14:paraId="121561E4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proofErr w:type="spellStart"/>
            <w:r w:rsidRPr="00F23E6F">
              <w:rPr>
                <w:sz w:val="28"/>
                <w:szCs w:val="28"/>
              </w:rPr>
              <w:t>Ген.планом</w:t>
            </w:r>
            <w:proofErr w:type="spellEnd"/>
            <w:r w:rsidRPr="00F23E6F">
              <w:rPr>
                <w:sz w:val="28"/>
                <w:szCs w:val="28"/>
              </w:rPr>
              <w:t xml:space="preserve"> предусмотрено строительство 1250 жилых домов</w:t>
            </w:r>
          </w:p>
        </w:tc>
        <w:tc>
          <w:tcPr>
            <w:tcW w:w="1711" w:type="dxa"/>
            <w:vAlign w:val="center"/>
          </w:tcPr>
          <w:p w14:paraId="59591C6D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proofErr w:type="spellStart"/>
            <w:r w:rsidRPr="00F23E6F">
              <w:rPr>
                <w:sz w:val="28"/>
                <w:szCs w:val="28"/>
              </w:rPr>
              <w:t>Ген.планом</w:t>
            </w:r>
            <w:proofErr w:type="spellEnd"/>
            <w:r w:rsidRPr="00F23E6F">
              <w:rPr>
                <w:sz w:val="28"/>
                <w:szCs w:val="28"/>
              </w:rPr>
              <w:t xml:space="preserve"> предусмотрено строительство 670 жилых домов</w:t>
            </w:r>
          </w:p>
        </w:tc>
        <w:tc>
          <w:tcPr>
            <w:tcW w:w="1559" w:type="dxa"/>
            <w:vAlign w:val="center"/>
          </w:tcPr>
          <w:p w14:paraId="4AA46F11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>≈4975</w:t>
            </w:r>
          </w:p>
        </w:tc>
      </w:tr>
      <w:tr w:rsidR="00E02FA0" w:rsidRPr="00E02FA0" w14:paraId="74F113A9" w14:textId="77777777" w:rsidTr="00707E3F">
        <w:trPr>
          <w:trHeight w:val="66"/>
        </w:trPr>
        <w:tc>
          <w:tcPr>
            <w:tcW w:w="1560" w:type="dxa"/>
            <w:shd w:val="clear" w:color="auto" w:fill="auto"/>
            <w:vAlign w:val="center"/>
          </w:tcPr>
          <w:p w14:paraId="0D02672B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1701" w:type="dxa"/>
            <w:vAlign w:val="center"/>
          </w:tcPr>
          <w:p w14:paraId="303C99EA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>Развита</w:t>
            </w:r>
          </w:p>
        </w:tc>
        <w:tc>
          <w:tcPr>
            <w:tcW w:w="2136" w:type="dxa"/>
            <w:vAlign w:val="center"/>
          </w:tcPr>
          <w:p w14:paraId="1FE96FD1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>Развита</w:t>
            </w:r>
          </w:p>
        </w:tc>
        <w:tc>
          <w:tcPr>
            <w:tcW w:w="1944" w:type="dxa"/>
            <w:vAlign w:val="center"/>
          </w:tcPr>
          <w:p w14:paraId="5973552E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>Развита</w:t>
            </w:r>
          </w:p>
        </w:tc>
        <w:tc>
          <w:tcPr>
            <w:tcW w:w="2015" w:type="dxa"/>
            <w:vAlign w:val="center"/>
          </w:tcPr>
          <w:p w14:paraId="38979EA7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>Развита</w:t>
            </w:r>
          </w:p>
        </w:tc>
        <w:tc>
          <w:tcPr>
            <w:tcW w:w="1459" w:type="dxa"/>
            <w:vAlign w:val="center"/>
          </w:tcPr>
          <w:p w14:paraId="2BAE3773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>Развита</w:t>
            </w:r>
          </w:p>
        </w:tc>
        <w:tc>
          <w:tcPr>
            <w:tcW w:w="1508" w:type="dxa"/>
            <w:vAlign w:val="center"/>
          </w:tcPr>
          <w:p w14:paraId="5591F4E4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>Слабо развита</w:t>
            </w:r>
          </w:p>
        </w:tc>
        <w:tc>
          <w:tcPr>
            <w:tcW w:w="1711" w:type="dxa"/>
            <w:vAlign w:val="center"/>
          </w:tcPr>
          <w:p w14:paraId="5B6CBEEB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>Развита</w:t>
            </w:r>
          </w:p>
        </w:tc>
        <w:tc>
          <w:tcPr>
            <w:tcW w:w="1559" w:type="dxa"/>
            <w:vAlign w:val="center"/>
          </w:tcPr>
          <w:p w14:paraId="75E53361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>Развита</w:t>
            </w:r>
          </w:p>
        </w:tc>
      </w:tr>
      <w:tr w:rsidR="00E02FA0" w:rsidRPr="00E02FA0" w14:paraId="32E5833B" w14:textId="77777777" w:rsidTr="00707E3F">
        <w:trPr>
          <w:trHeight w:val="1060"/>
        </w:trPr>
        <w:tc>
          <w:tcPr>
            <w:tcW w:w="1560" w:type="dxa"/>
            <w:shd w:val="clear" w:color="auto" w:fill="auto"/>
            <w:vAlign w:val="center"/>
          </w:tcPr>
          <w:p w14:paraId="5F8C2B4F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>Доступные коммуникации</w:t>
            </w:r>
          </w:p>
        </w:tc>
        <w:tc>
          <w:tcPr>
            <w:tcW w:w="1701" w:type="dxa"/>
            <w:vAlign w:val="center"/>
          </w:tcPr>
          <w:p w14:paraId="1F666BB7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>газоснабжение, электроснабжение, водоснабжение, центральная канализация, телефон. Внутриквартальные дороги — Асфальт</w:t>
            </w:r>
          </w:p>
        </w:tc>
        <w:tc>
          <w:tcPr>
            <w:tcW w:w="2136" w:type="dxa"/>
            <w:vAlign w:val="center"/>
          </w:tcPr>
          <w:p w14:paraId="373F022E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>газ, электроснабжение, </w:t>
            </w:r>
            <w:r w:rsidRPr="00F23E6F">
              <w:rPr>
                <w:sz w:val="28"/>
                <w:szCs w:val="28"/>
              </w:rPr>
              <w:br/>
              <w:t>водоснабжение, </w:t>
            </w:r>
            <w:r w:rsidRPr="00F23E6F">
              <w:rPr>
                <w:sz w:val="28"/>
                <w:szCs w:val="28"/>
              </w:rPr>
              <w:br/>
              <w:t>центральная канализация, </w:t>
            </w:r>
            <w:r w:rsidRPr="00F23E6F">
              <w:rPr>
                <w:sz w:val="28"/>
                <w:szCs w:val="28"/>
              </w:rPr>
              <w:br/>
              <w:t>телефон Внутриквартальные дороги — Асфальт, Щебень</w:t>
            </w:r>
          </w:p>
        </w:tc>
        <w:tc>
          <w:tcPr>
            <w:tcW w:w="1944" w:type="dxa"/>
            <w:vAlign w:val="center"/>
          </w:tcPr>
          <w:p w14:paraId="0743691E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>Водоснабжение — Скважина</w:t>
            </w:r>
          </w:p>
          <w:p w14:paraId="40246589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>- Канализация — Местная</w:t>
            </w:r>
          </w:p>
          <w:p w14:paraId="4F58171B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>- Внутриквартальные дороги — Асфальт, Щебень</w:t>
            </w:r>
          </w:p>
          <w:p w14:paraId="017B3497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>- Охрана — Нет</w:t>
            </w:r>
          </w:p>
          <w:p w14:paraId="6E9D26CC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>- Газификация — Есть</w:t>
            </w:r>
          </w:p>
        </w:tc>
        <w:tc>
          <w:tcPr>
            <w:tcW w:w="2015" w:type="dxa"/>
            <w:vAlign w:val="center"/>
          </w:tcPr>
          <w:p w14:paraId="1DE644D1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>газоснабжение, электроснабжение, водоснабжение, центральная канализация, телефон. Внутриквартальные дороги — Асфальт, грунт</w:t>
            </w:r>
          </w:p>
        </w:tc>
        <w:tc>
          <w:tcPr>
            <w:tcW w:w="1459" w:type="dxa"/>
            <w:vAlign w:val="center"/>
          </w:tcPr>
          <w:p w14:paraId="25EAC9BD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>Водоснабжение Центральное. </w:t>
            </w:r>
            <w:r w:rsidRPr="00F23E6F">
              <w:rPr>
                <w:sz w:val="28"/>
                <w:szCs w:val="28"/>
              </w:rPr>
              <w:br/>
              <w:t xml:space="preserve"> Канализация местная</w:t>
            </w:r>
            <w:r w:rsidRPr="00F23E6F">
              <w:rPr>
                <w:sz w:val="28"/>
                <w:szCs w:val="28"/>
              </w:rPr>
              <w:br/>
              <w:t xml:space="preserve"> Внутриквартальные </w:t>
            </w:r>
            <w:proofErr w:type="gramStart"/>
            <w:r w:rsidRPr="00F23E6F">
              <w:rPr>
                <w:sz w:val="28"/>
                <w:szCs w:val="28"/>
              </w:rPr>
              <w:t>дороги  Асфальт</w:t>
            </w:r>
            <w:proofErr w:type="gramEnd"/>
            <w:r w:rsidRPr="00F23E6F">
              <w:rPr>
                <w:sz w:val="28"/>
                <w:szCs w:val="28"/>
              </w:rPr>
              <w:t>, грунт</w:t>
            </w:r>
            <w:r w:rsidRPr="00F23E6F">
              <w:rPr>
                <w:sz w:val="28"/>
                <w:szCs w:val="28"/>
              </w:rPr>
              <w:br/>
              <w:t xml:space="preserve"> ГАЗ, Электричество</w:t>
            </w:r>
          </w:p>
        </w:tc>
        <w:tc>
          <w:tcPr>
            <w:tcW w:w="1508" w:type="dxa"/>
            <w:vAlign w:val="center"/>
          </w:tcPr>
          <w:p w14:paraId="3B4A19E6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proofErr w:type="gramStart"/>
            <w:r w:rsidRPr="00F23E6F">
              <w:rPr>
                <w:sz w:val="28"/>
                <w:szCs w:val="28"/>
              </w:rPr>
              <w:t>Водоснабжение  Скважина</w:t>
            </w:r>
            <w:proofErr w:type="gramEnd"/>
            <w:r w:rsidRPr="00F23E6F">
              <w:rPr>
                <w:sz w:val="28"/>
                <w:szCs w:val="28"/>
              </w:rPr>
              <w:t>, Канализация — Местная, Ямы Внутриквартальные дороги Щебень. ГАЗ</w:t>
            </w:r>
            <w:r w:rsidRPr="00F23E6F">
              <w:rPr>
                <w:sz w:val="28"/>
                <w:szCs w:val="28"/>
              </w:rPr>
              <w:br/>
              <w:t>-Электричество</w:t>
            </w:r>
          </w:p>
        </w:tc>
        <w:tc>
          <w:tcPr>
            <w:tcW w:w="1711" w:type="dxa"/>
            <w:vAlign w:val="center"/>
          </w:tcPr>
          <w:p w14:paraId="24D055E9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>Водоснабжение Скважина </w:t>
            </w:r>
            <w:r w:rsidRPr="00F23E6F">
              <w:rPr>
                <w:sz w:val="28"/>
                <w:szCs w:val="28"/>
              </w:rPr>
              <w:br/>
              <w:t>Канализация — местная</w:t>
            </w:r>
            <w:r w:rsidRPr="00F23E6F">
              <w:rPr>
                <w:sz w:val="28"/>
                <w:szCs w:val="28"/>
              </w:rPr>
              <w:br/>
              <w:t>Внутриквартальные дороги — Асфальт, грунт</w:t>
            </w:r>
            <w:r w:rsidRPr="00F23E6F">
              <w:rPr>
                <w:sz w:val="28"/>
                <w:szCs w:val="28"/>
              </w:rPr>
              <w:br/>
              <w:t>ГАЗ</w:t>
            </w:r>
            <w:r w:rsidRPr="00F23E6F">
              <w:rPr>
                <w:sz w:val="28"/>
                <w:szCs w:val="28"/>
              </w:rPr>
              <w:br/>
              <w:t>Электричество</w:t>
            </w:r>
          </w:p>
        </w:tc>
        <w:tc>
          <w:tcPr>
            <w:tcW w:w="1559" w:type="dxa"/>
            <w:vAlign w:val="center"/>
          </w:tcPr>
          <w:p w14:paraId="677C9ED0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>Водоснабжение, Канализация Центральная</w:t>
            </w:r>
            <w:r w:rsidRPr="00F23E6F">
              <w:rPr>
                <w:sz w:val="28"/>
                <w:szCs w:val="28"/>
              </w:rPr>
              <w:br/>
              <w:t xml:space="preserve">Внутриквартальные </w:t>
            </w:r>
            <w:proofErr w:type="gramStart"/>
            <w:r w:rsidRPr="00F23E6F">
              <w:rPr>
                <w:sz w:val="28"/>
                <w:szCs w:val="28"/>
              </w:rPr>
              <w:t>дороги  Асфальт</w:t>
            </w:r>
            <w:proofErr w:type="gramEnd"/>
            <w:r w:rsidRPr="00F23E6F">
              <w:rPr>
                <w:sz w:val="28"/>
                <w:szCs w:val="28"/>
              </w:rPr>
              <w:t xml:space="preserve">- </w:t>
            </w:r>
            <w:proofErr w:type="spellStart"/>
            <w:r w:rsidRPr="00F23E6F">
              <w:rPr>
                <w:sz w:val="28"/>
                <w:szCs w:val="28"/>
              </w:rPr>
              <w:t>ГАЗ,Электричество</w:t>
            </w:r>
            <w:proofErr w:type="spellEnd"/>
          </w:p>
        </w:tc>
      </w:tr>
      <w:tr w:rsidR="00E02FA0" w:rsidRPr="00E02FA0" w14:paraId="2E0AF162" w14:textId="77777777" w:rsidTr="00707E3F">
        <w:trPr>
          <w:trHeight w:val="991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29E836F7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lastRenderedPageBreak/>
              <w:t>Стоимость, руб.</w:t>
            </w:r>
          </w:p>
        </w:tc>
        <w:tc>
          <w:tcPr>
            <w:tcW w:w="1701" w:type="dxa"/>
            <w:vMerge w:val="restart"/>
            <w:vAlign w:val="center"/>
          </w:tcPr>
          <w:p w14:paraId="4C9174FA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 xml:space="preserve">Жилой дом </w:t>
            </w:r>
            <w:proofErr w:type="spellStart"/>
            <w:r w:rsidRPr="00F23E6F">
              <w:rPr>
                <w:sz w:val="28"/>
                <w:szCs w:val="28"/>
              </w:rPr>
              <w:t>кв.м</w:t>
            </w:r>
            <w:proofErr w:type="spellEnd"/>
            <w:r w:rsidRPr="00F23E6F">
              <w:rPr>
                <w:sz w:val="28"/>
                <w:szCs w:val="28"/>
              </w:rPr>
              <w:t>. ≈36600</w:t>
            </w:r>
          </w:p>
          <w:p w14:paraId="03416D18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</w:p>
          <w:p w14:paraId="0002F622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 xml:space="preserve">Земельный участок </w:t>
            </w:r>
            <w:proofErr w:type="spellStart"/>
            <w:r w:rsidRPr="00F23E6F">
              <w:rPr>
                <w:sz w:val="28"/>
                <w:szCs w:val="28"/>
              </w:rPr>
              <w:t>кв.м</w:t>
            </w:r>
            <w:proofErr w:type="spellEnd"/>
            <w:r w:rsidRPr="00F23E6F">
              <w:rPr>
                <w:sz w:val="28"/>
                <w:szCs w:val="28"/>
              </w:rPr>
              <w:t>.  ≈3900</w:t>
            </w:r>
          </w:p>
        </w:tc>
        <w:tc>
          <w:tcPr>
            <w:tcW w:w="2136" w:type="dxa"/>
            <w:vAlign w:val="center"/>
          </w:tcPr>
          <w:p w14:paraId="0CA9239D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>Авиатор</w:t>
            </w:r>
          </w:p>
          <w:p w14:paraId="4FC7FD6B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</w:p>
          <w:p w14:paraId="4651D48B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 xml:space="preserve">Жилой дом </w:t>
            </w:r>
            <w:proofErr w:type="spellStart"/>
            <w:r w:rsidRPr="00F23E6F">
              <w:rPr>
                <w:sz w:val="28"/>
                <w:szCs w:val="28"/>
              </w:rPr>
              <w:t>кв.м</w:t>
            </w:r>
            <w:proofErr w:type="spellEnd"/>
            <w:r w:rsidRPr="00F23E6F">
              <w:rPr>
                <w:sz w:val="28"/>
                <w:szCs w:val="28"/>
              </w:rPr>
              <w:t>. ≈32500</w:t>
            </w:r>
          </w:p>
          <w:p w14:paraId="4C53AB84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</w:p>
          <w:p w14:paraId="40E7CAAF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 xml:space="preserve">Земельный участок </w:t>
            </w:r>
            <w:proofErr w:type="spellStart"/>
            <w:r w:rsidRPr="00F23E6F">
              <w:rPr>
                <w:sz w:val="28"/>
                <w:szCs w:val="28"/>
              </w:rPr>
              <w:t>кв.м</w:t>
            </w:r>
            <w:proofErr w:type="spellEnd"/>
            <w:r w:rsidRPr="00F23E6F">
              <w:rPr>
                <w:sz w:val="28"/>
                <w:szCs w:val="28"/>
              </w:rPr>
              <w:t>.  ≈1020</w:t>
            </w:r>
          </w:p>
          <w:p w14:paraId="17576C5A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Merge w:val="restart"/>
            <w:vAlign w:val="center"/>
          </w:tcPr>
          <w:p w14:paraId="0FE464D5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 xml:space="preserve">Жилой дом </w:t>
            </w:r>
            <w:proofErr w:type="spellStart"/>
            <w:r w:rsidRPr="00F23E6F">
              <w:rPr>
                <w:sz w:val="28"/>
                <w:szCs w:val="28"/>
              </w:rPr>
              <w:t>кв.м</w:t>
            </w:r>
            <w:proofErr w:type="spellEnd"/>
            <w:r w:rsidRPr="00F23E6F">
              <w:rPr>
                <w:sz w:val="28"/>
                <w:szCs w:val="28"/>
              </w:rPr>
              <w:t>. ≈28800</w:t>
            </w:r>
          </w:p>
          <w:p w14:paraId="47FCF254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</w:p>
          <w:p w14:paraId="4DE96E23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 xml:space="preserve">Земельный участок </w:t>
            </w:r>
            <w:proofErr w:type="spellStart"/>
            <w:r w:rsidRPr="00F23E6F">
              <w:rPr>
                <w:sz w:val="28"/>
                <w:szCs w:val="28"/>
              </w:rPr>
              <w:t>кв.м</w:t>
            </w:r>
            <w:proofErr w:type="spellEnd"/>
            <w:r w:rsidRPr="00F23E6F">
              <w:rPr>
                <w:sz w:val="28"/>
                <w:szCs w:val="28"/>
              </w:rPr>
              <w:t>.  ≈700</w:t>
            </w:r>
          </w:p>
        </w:tc>
        <w:tc>
          <w:tcPr>
            <w:tcW w:w="2015" w:type="dxa"/>
            <w:vMerge w:val="restart"/>
            <w:vAlign w:val="center"/>
          </w:tcPr>
          <w:p w14:paraId="0F330497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 xml:space="preserve">Жилой дом </w:t>
            </w:r>
            <w:proofErr w:type="spellStart"/>
            <w:r w:rsidRPr="00F23E6F">
              <w:rPr>
                <w:sz w:val="28"/>
                <w:szCs w:val="28"/>
              </w:rPr>
              <w:t>кв.м</w:t>
            </w:r>
            <w:proofErr w:type="spellEnd"/>
            <w:r w:rsidRPr="00F23E6F">
              <w:rPr>
                <w:sz w:val="28"/>
                <w:szCs w:val="28"/>
              </w:rPr>
              <w:t>. ≈26700</w:t>
            </w:r>
          </w:p>
          <w:p w14:paraId="3343E076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</w:p>
          <w:p w14:paraId="4E06CCE8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 xml:space="preserve">Земельный участок </w:t>
            </w:r>
            <w:proofErr w:type="spellStart"/>
            <w:r w:rsidRPr="00F23E6F">
              <w:rPr>
                <w:sz w:val="28"/>
                <w:szCs w:val="28"/>
              </w:rPr>
              <w:t>кв.м</w:t>
            </w:r>
            <w:proofErr w:type="spellEnd"/>
            <w:r w:rsidRPr="00F23E6F">
              <w:rPr>
                <w:sz w:val="28"/>
                <w:szCs w:val="28"/>
              </w:rPr>
              <w:t>.  ≈700</w:t>
            </w:r>
          </w:p>
        </w:tc>
        <w:tc>
          <w:tcPr>
            <w:tcW w:w="1459" w:type="dxa"/>
            <w:vMerge w:val="restart"/>
            <w:vAlign w:val="center"/>
          </w:tcPr>
          <w:p w14:paraId="75EFC967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 xml:space="preserve">Жилой дом </w:t>
            </w:r>
            <w:proofErr w:type="spellStart"/>
            <w:r w:rsidRPr="00F23E6F">
              <w:rPr>
                <w:sz w:val="28"/>
                <w:szCs w:val="28"/>
              </w:rPr>
              <w:t>кв.м</w:t>
            </w:r>
            <w:proofErr w:type="spellEnd"/>
            <w:r w:rsidRPr="00F23E6F">
              <w:rPr>
                <w:sz w:val="28"/>
                <w:szCs w:val="28"/>
              </w:rPr>
              <w:t>. ≈27400</w:t>
            </w:r>
          </w:p>
          <w:p w14:paraId="0B0E6E8E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</w:p>
          <w:p w14:paraId="43B3F40F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 xml:space="preserve">Земельный участок </w:t>
            </w:r>
            <w:proofErr w:type="spellStart"/>
            <w:r w:rsidRPr="00F23E6F">
              <w:rPr>
                <w:sz w:val="28"/>
                <w:szCs w:val="28"/>
              </w:rPr>
              <w:t>кв.м</w:t>
            </w:r>
            <w:proofErr w:type="spellEnd"/>
            <w:r w:rsidRPr="00F23E6F">
              <w:rPr>
                <w:sz w:val="28"/>
                <w:szCs w:val="28"/>
              </w:rPr>
              <w:t>.  ≈900</w:t>
            </w:r>
          </w:p>
        </w:tc>
        <w:tc>
          <w:tcPr>
            <w:tcW w:w="1508" w:type="dxa"/>
            <w:vMerge w:val="restart"/>
            <w:vAlign w:val="center"/>
          </w:tcPr>
          <w:p w14:paraId="69A6BF4F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 xml:space="preserve">Жилой дом </w:t>
            </w:r>
            <w:proofErr w:type="spellStart"/>
            <w:r w:rsidRPr="00F23E6F">
              <w:rPr>
                <w:sz w:val="28"/>
                <w:szCs w:val="28"/>
              </w:rPr>
              <w:t>кв.м</w:t>
            </w:r>
            <w:proofErr w:type="spellEnd"/>
            <w:r w:rsidRPr="00F23E6F">
              <w:rPr>
                <w:sz w:val="28"/>
                <w:szCs w:val="28"/>
              </w:rPr>
              <w:t>. ≈24700</w:t>
            </w:r>
          </w:p>
          <w:p w14:paraId="3D062E10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</w:p>
          <w:p w14:paraId="3121F906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 xml:space="preserve">Земельный участок </w:t>
            </w:r>
            <w:proofErr w:type="spellStart"/>
            <w:r w:rsidRPr="00F23E6F">
              <w:rPr>
                <w:sz w:val="28"/>
                <w:szCs w:val="28"/>
              </w:rPr>
              <w:t>кв.м</w:t>
            </w:r>
            <w:proofErr w:type="spellEnd"/>
            <w:r w:rsidRPr="00F23E6F">
              <w:rPr>
                <w:sz w:val="28"/>
                <w:szCs w:val="28"/>
              </w:rPr>
              <w:t>.  ≈300</w:t>
            </w:r>
          </w:p>
        </w:tc>
        <w:tc>
          <w:tcPr>
            <w:tcW w:w="1711" w:type="dxa"/>
            <w:vMerge w:val="restart"/>
            <w:vAlign w:val="center"/>
          </w:tcPr>
          <w:p w14:paraId="7F5B3384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 xml:space="preserve">Жилой дом </w:t>
            </w:r>
            <w:proofErr w:type="spellStart"/>
            <w:r w:rsidRPr="00F23E6F">
              <w:rPr>
                <w:sz w:val="28"/>
                <w:szCs w:val="28"/>
              </w:rPr>
              <w:t>кв.м</w:t>
            </w:r>
            <w:proofErr w:type="spellEnd"/>
            <w:r w:rsidRPr="00F23E6F">
              <w:rPr>
                <w:sz w:val="28"/>
                <w:szCs w:val="28"/>
              </w:rPr>
              <w:t>. ≈32600</w:t>
            </w:r>
          </w:p>
          <w:p w14:paraId="68D45513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</w:p>
          <w:p w14:paraId="34D09923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 xml:space="preserve">Земельный участок </w:t>
            </w:r>
            <w:proofErr w:type="spellStart"/>
            <w:r w:rsidRPr="00F23E6F">
              <w:rPr>
                <w:sz w:val="28"/>
                <w:szCs w:val="28"/>
              </w:rPr>
              <w:t>кв.м</w:t>
            </w:r>
            <w:proofErr w:type="spellEnd"/>
            <w:r w:rsidRPr="00F23E6F">
              <w:rPr>
                <w:sz w:val="28"/>
                <w:szCs w:val="28"/>
              </w:rPr>
              <w:t>.  ≈950</w:t>
            </w:r>
          </w:p>
        </w:tc>
        <w:tc>
          <w:tcPr>
            <w:tcW w:w="1559" w:type="dxa"/>
            <w:vMerge w:val="restart"/>
            <w:vAlign w:val="center"/>
          </w:tcPr>
          <w:p w14:paraId="418FA862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 xml:space="preserve">Жилой дом </w:t>
            </w:r>
            <w:proofErr w:type="spellStart"/>
            <w:r w:rsidRPr="00F23E6F">
              <w:rPr>
                <w:sz w:val="28"/>
                <w:szCs w:val="28"/>
              </w:rPr>
              <w:t>кв.м</w:t>
            </w:r>
            <w:proofErr w:type="spellEnd"/>
            <w:r w:rsidRPr="00F23E6F">
              <w:rPr>
                <w:sz w:val="28"/>
                <w:szCs w:val="28"/>
              </w:rPr>
              <w:t>. ≈31500</w:t>
            </w:r>
          </w:p>
          <w:p w14:paraId="3F3B9B2E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</w:p>
          <w:p w14:paraId="6CBD1CE8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 xml:space="preserve">Земельный участок </w:t>
            </w:r>
            <w:proofErr w:type="spellStart"/>
            <w:r w:rsidRPr="00F23E6F">
              <w:rPr>
                <w:sz w:val="28"/>
                <w:szCs w:val="28"/>
              </w:rPr>
              <w:t>кв.м</w:t>
            </w:r>
            <w:proofErr w:type="spellEnd"/>
            <w:r w:rsidRPr="00F23E6F">
              <w:rPr>
                <w:sz w:val="28"/>
                <w:szCs w:val="28"/>
              </w:rPr>
              <w:t>.  ≈590</w:t>
            </w:r>
          </w:p>
        </w:tc>
      </w:tr>
      <w:tr w:rsidR="00E02FA0" w:rsidRPr="00E02FA0" w14:paraId="6EBF6112" w14:textId="77777777" w:rsidTr="00707E3F">
        <w:trPr>
          <w:trHeight w:val="55"/>
        </w:trPr>
        <w:tc>
          <w:tcPr>
            <w:tcW w:w="1560" w:type="dxa"/>
            <w:vMerge/>
            <w:shd w:val="clear" w:color="auto" w:fill="auto"/>
            <w:vAlign w:val="center"/>
          </w:tcPr>
          <w:p w14:paraId="74DB153D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13CAC0CB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14:paraId="6452FA7E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>Спутник</w:t>
            </w:r>
          </w:p>
          <w:p w14:paraId="5E60B04D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</w:p>
          <w:p w14:paraId="3E5875D4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 xml:space="preserve">Жилой дом </w:t>
            </w:r>
            <w:proofErr w:type="spellStart"/>
            <w:r w:rsidRPr="00F23E6F">
              <w:rPr>
                <w:sz w:val="28"/>
                <w:szCs w:val="28"/>
              </w:rPr>
              <w:t>кв.м</w:t>
            </w:r>
            <w:proofErr w:type="spellEnd"/>
            <w:r w:rsidRPr="00F23E6F">
              <w:rPr>
                <w:sz w:val="28"/>
                <w:szCs w:val="28"/>
              </w:rPr>
              <w:t>. ≈39900</w:t>
            </w:r>
          </w:p>
          <w:p w14:paraId="62AD2985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</w:p>
          <w:p w14:paraId="281EB58D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 xml:space="preserve">Земельный участок </w:t>
            </w:r>
            <w:proofErr w:type="spellStart"/>
            <w:r w:rsidRPr="00F23E6F">
              <w:rPr>
                <w:sz w:val="28"/>
                <w:szCs w:val="28"/>
              </w:rPr>
              <w:t>кв.м</w:t>
            </w:r>
            <w:proofErr w:type="spellEnd"/>
            <w:r w:rsidRPr="00F23E6F">
              <w:rPr>
                <w:sz w:val="28"/>
                <w:szCs w:val="28"/>
              </w:rPr>
              <w:t>.  ≈1300</w:t>
            </w:r>
          </w:p>
        </w:tc>
        <w:tc>
          <w:tcPr>
            <w:tcW w:w="1944" w:type="dxa"/>
            <w:vMerge/>
            <w:vAlign w:val="center"/>
          </w:tcPr>
          <w:p w14:paraId="3D279AB8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5" w:type="dxa"/>
            <w:vMerge/>
            <w:vAlign w:val="center"/>
          </w:tcPr>
          <w:p w14:paraId="33675D09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vMerge/>
            <w:vAlign w:val="center"/>
          </w:tcPr>
          <w:p w14:paraId="1F68F418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8" w:type="dxa"/>
            <w:vMerge/>
            <w:vAlign w:val="center"/>
          </w:tcPr>
          <w:p w14:paraId="1868FDAF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Merge/>
            <w:vAlign w:val="center"/>
          </w:tcPr>
          <w:p w14:paraId="0ED8E890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325E8274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</w:p>
        </w:tc>
      </w:tr>
      <w:tr w:rsidR="00E02FA0" w:rsidRPr="00E02FA0" w14:paraId="3388DE9D" w14:textId="77777777" w:rsidTr="00707E3F">
        <w:trPr>
          <w:trHeight w:val="681"/>
        </w:trPr>
        <w:tc>
          <w:tcPr>
            <w:tcW w:w="1560" w:type="dxa"/>
            <w:shd w:val="clear" w:color="auto" w:fill="auto"/>
            <w:vAlign w:val="center"/>
          </w:tcPr>
          <w:p w14:paraId="3EFBF3F0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>Диапазон цен, млн. руб.</w:t>
            </w:r>
          </w:p>
        </w:tc>
        <w:tc>
          <w:tcPr>
            <w:tcW w:w="1701" w:type="dxa"/>
            <w:vAlign w:val="center"/>
          </w:tcPr>
          <w:p w14:paraId="62CA1687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>2 500-15 000</w:t>
            </w:r>
          </w:p>
        </w:tc>
        <w:tc>
          <w:tcPr>
            <w:tcW w:w="2136" w:type="dxa"/>
            <w:vAlign w:val="center"/>
          </w:tcPr>
          <w:p w14:paraId="7DCF18CC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>1 300-10 500</w:t>
            </w:r>
          </w:p>
          <w:p w14:paraId="0CF74F8F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>2 600-15 000</w:t>
            </w:r>
          </w:p>
        </w:tc>
        <w:tc>
          <w:tcPr>
            <w:tcW w:w="1944" w:type="dxa"/>
            <w:vAlign w:val="center"/>
          </w:tcPr>
          <w:p w14:paraId="06B3E7C3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>2 000-8 000</w:t>
            </w:r>
          </w:p>
        </w:tc>
        <w:tc>
          <w:tcPr>
            <w:tcW w:w="2015" w:type="dxa"/>
            <w:vAlign w:val="center"/>
          </w:tcPr>
          <w:p w14:paraId="3ECEC9E7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>750-6 000</w:t>
            </w:r>
          </w:p>
        </w:tc>
        <w:tc>
          <w:tcPr>
            <w:tcW w:w="1459" w:type="dxa"/>
            <w:vAlign w:val="center"/>
          </w:tcPr>
          <w:p w14:paraId="1E248740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>900-9 000</w:t>
            </w:r>
          </w:p>
        </w:tc>
        <w:tc>
          <w:tcPr>
            <w:tcW w:w="1508" w:type="dxa"/>
            <w:vAlign w:val="center"/>
          </w:tcPr>
          <w:p w14:paraId="7A655E0A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>1 500-4 700</w:t>
            </w:r>
          </w:p>
        </w:tc>
        <w:tc>
          <w:tcPr>
            <w:tcW w:w="1711" w:type="dxa"/>
            <w:vAlign w:val="center"/>
          </w:tcPr>
          <w:p w14:paraId="1DD5A3E4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>1 900-17 500</w:t>
            </w:r>
          </w:p>
        </w:tc>
        <w:tc>
          <w:tcPr>
            <w:tcW w:w="1559" w:type="dxa"/>
            <w:vAlign w:val="center"/>
          </w:tcPr>
          <w:p w14:paraId="27FD17DA" w14:textId="77777777" w:rsidR="00E02FA0" w:rsidRPr="00F23E6F" w:rsidRDefault="00E02FA0" w:rsidP="00E02FA0">
            <w:pPr>
              <w:jc w:val="center"/>
              <w:rPr>
                <w:sz w:val="28"/>
                <w:szCs w:val="28"/>
              </w:rPr>
            </w:pPr>
            <w:r w:rsidRPr="00F23E6F">
              <w:rPr>
                <w:sz w:val="28"/>
                <w:szCs w:val="28"/>
              </w:rPr>
              <w:t>900-9 900</w:t>
            </w:r>
          </w:p>
        </w:tc>
      </w:tr>
    </w:tbl>
    <w:p w14:paraId="36A270B6" w14:textId="77777777" w:rsidR="00EA37D5" w:rsidRPr="00EA37D5" w:rsidRDefault="00EA37D5" w:rsidP="00707E3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7A54D664" w14:textId="603E58D5" w:rsidR="00707E3F" w:rsidRPr="00EA37D5" w:rsidRDefault="00707E3F" w:rsidP="00707E3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7D5">
        <w:rPr>
          <w:rFonts w:ascii="Times New Roman" w:hAnsi="Times New Roman" w:cs="Times New Roman"/>
          <w:sz w:val="28"/>
          <w:szCs w:val="28"/>
        </w:rPr>
        <w:t>Для анализа влияния местоположения на удельную стоимость руб./м², я изучила цены предложения в каждой из групп. Цены распределились следующим образом:</w:t>
      </w:r>
    </w:p>
    <w:p w14:paraId="23B1BCDB" w14:textId="77777777" w:rsidR="00707E3F" w:rsidRPr="00A32F65" w:rsidRDefault="00707E3F" w:rsidP="00707E3F">
      <w:pPr>
        <w:pStyle w:val="ac"/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auto"/>
          <w:sz w:val="22"/>
        </w:rPr>
      </w:pPr>
    </w:p>
    <w:p w14:paraId="74A6E137" w14:textId="45EE77A7" w:rsidR="00707E3F" w:rsidRPr="00A32F65" w:rsidRDefault="00707E3F" w:rsidP="00707E3F">
      <w:pPr>
        <w:pStyle w:val="ac"/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auto"/>
          <w:sz w:val="22"/>
        </w:rPr>
      </w:pPr>
    </w:p>
    <w:p w14:paraId="411AFC02" w14:textId="6D599637" w:rsidR="00707E3F" w:rsidRPr="00A32F65" w:rsidRDefault="00707E3F" w:rsidP="00691085">
      <w:pPr>
        <w:pStyle w:val="ac"/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707E3F">
        <w:rPr>
          <w:rFonts w:ascii="Times New Roman" w:eastAsia="Times New Roman" w:hAnsi="Times New Roman" w:cs="Times New Roman"/>
          <w:noProof/>
          <w:color w:val="auto"/>
          <w:sz w:val="22"/>
        </w:rPr>
        <w:lastRenderedPageBreak/>
        <w:drawing>
          <wp:inline distT="0" distB="0" distL="0" distR="0" wp14:anchorId="4E949B2F" wp14:editId="3FC1369E">
            <wp:extent cx="7744312" cy="3308279"/>
            <wp:effectExtent l="0" t="0" r="0" b="6985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996A946" w14:textId="3E708FA0" w:rsidR="00707E3F" w:rsidRDefault="00707E3F" w:rsidP="00707E3F">
      <w:pPr>
        <w:pStyle w:val="ac"/>
        <w:shd w:val="clear" w:color="auto" w:fill="FFFFFF"/>
        <w:spacing w:before="0" w:beforeAutospacing="0" w:after="0" w:afterAutospacing="0"/>
        <w:ind w:firstLine="570"/>
        <w:jc w:val="both"/>
        <w:rPr>
          <w:rFonts w:ascii="Times New Roman" w:eastAsia="Times New Roman" w:hAnsi="Times New Roman" w:cs="Times New Roman"/>
          <w:color w:val="auto"/>
          <w:sz w:val="22"/>
        </w:rPr>
      </w:pPr>
    </w:p>
    <w:p w14:paraId="119E6997" w14:textId="26A880DE" w:rsidR="00707E3F" w:rsidRPr="00EA37D5" w:rsidRDefault="00707E3F" w:rsidP="00691085">
      <w:pPr>
        <w:pStyle w:val="ac"/>
        <w:shd w:val="clear" w:color="auto" w:fill="FFFFFF"/>
        <w:spacing w:before="0" w:beforeAutospacing="0" w:after="0" w:afterAutospacing="0"/>
        <w:ind w:firstLine="57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A37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Рисунок 1- </w:t>
      </w:r>
      <w:r w:rsidR="00691085" w:rsidRPr="00EA37D5">
        <w:rPr>
          <w:rFonts w:ascii="Times New Roman" w:eastAsia="Times New Roman" w:hAnsi="Times New Roman" w:cs="Times New Roman"/>
          <w:color w:val="auto"/>
          <w:sz w:val="28"/>
          <w:szCs w:val="28"/>
        </w:rPr>
        <w:t>Средние удельные показатели цены предложений по поселкам г. Барнаула</w:t>
      </w:r>
    </w:p>
    <w:p w14:paraId="4342AA79" w14:textId="26FEA220" w:rsidR="00707E3F" w:rsidRPr="00EA37D5" w:rsidRDefault="00707E3F" w:rsidP="00707E3F">
      <w:pPr>
        <w:pStyle w:val="ac"/>
        <w:shd w:val="clear" w:color="auto" w:fill="FFFFFF"/>
        <w:spacing w:before="0" w:beforeAutospacing="0" w:after="0" w:afterAutospacing="0"/>
        <w:ind w:firstLine="57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A37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Немаловажным фактором для пригорода является также утилизация мусора. </w:t>
      </w:r>
    </w:p>
    <w:p w14:paraId="18039AEC" w14:textId="77777777" w:rsidR="00707E3F" w:rsidRPr="00EA37D5" w:rsidRDefault="00707E3F" w:rsidP="00707E3F">
      <w:pPr>
        <w:pStyle w:val="ac"/>
        <w:shd w:val="clear" w:color="auto" w:fill="FFFFFF"/>
        <w:spacing w:before="0" w:beforeAutospacing="0" w:after="0" w:afterAutospacing="0"/>
        <w:ind w:firstLine="57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F92C450" w14:textId="77777777" w:rsidR="00707E3F" w:rsidRPr="00EA37D5" w:rsidRDefault="00707E3F" w:rsidP="00707E3F">
      <w:pPr>
        <w:pStyle w:val="ac"/>
        <w:shd w:val="clear" w:color="auto" w:fill="FFFFFF"/>
        <w:spacing w:before="0" w:beforeAutospacing="0" w:after="0" w:afterAutospacing="0"/>
        <w:ind w:firstLine="57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A37D5">
        <w:rPr>
          <w:rFonts w:ascii="Times New Roman" w:eastAsia="Times New Roman" w:hAnsi="Times New Roman" w:cs="Times New Roman"/>
          <w:color w:val="auto"/>
          <w:sz w:val="28"/>
          <w:szCs w:val="28"/>
        </w:rPr>
        <w:t>Также при выборе поселка важную роль играет качество дорог.  В пригороде Барнаула не так много микрорайонов с твердым дорожным покрытием. Если говорить о поселках с хорошими дорогами и их налаженным обслуживанием, то это микрорайон Солнечный, Солнечная Поляна, Спутник, Авиатор, Чистые пруды и т.д.</w:t>
      </w:r>
    </w:p>
    <w:p w14:paraId="6C822187" w14:textId="77777777" w:rsidR="00707E3F" w:rsidRPr="00EA37D5" w:rsidRDefault="00707E3F" w:rsidP="00707E3F">
      <w:pPr>
        <w:pStyle w:val="ac"/>
        <w:shd w:val="clear" w:color="auto" w:fill="FFFFFF"/>
        <w:spacing w:before="0" w:beforeAutospacing="0" w:after="0" w:afterAutospacing="0"/>
        <w:ind w:firstLine="57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A37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Наиболее приемлемые условия транспортного сообщения существуют в поселках Солнечная Поляна, Спутник, Авиатор. В последних кроме внутреннего транспорта организовано специальное движение школьного автобуса. Также развит транспорт общественного назначения в </w:t>
      </w:r>
      <w:proofErr w:type="gramStart"/>
      <w:r w:rsidRPr="00EA37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поселках  </w:t>
      </w:r>
      <w:proofErr w:type="spellStart"/>
      <w:r w:rsidRPr="00EA37D5">
        <w:rPr>
          <w:rFonts w:ascii="Times New Roman" w:eastAsia="Times New Roman" w:hAnsi="Times New Roman" w:cs="Times New Roman"/>
          <w:color w:val="auto"/>
          <w:sz w:val="28"/>
          <w:szCs w:val="28"/>
        </w:rPr>
        <w:t>Власиха</w:t>
      </w:r>
      <w:proofErr w:type="spellEnd"/>
      <w:proofErr w:type="gramEnd"/>
      <w:r w:rsidRPr="00EA37D5">
        <w:rPr>
          <w:rFonts w:ascii="Times New Roman" w:eastAsia="Times New Roman" w:hAnsi="Times New Roman" w:cs="Times New Roman"/>
          <w:color w:val="auto"/>
          <w:sz w:val="28"/>
          <w:szCs w:val="28"/>
        </w:rPr>
        <w:t>, Октябрьский.</w:t>
      </w:r>
    </w:p>
    <w:p w14:paraId="574D2A9B" w14:textId="77777777" w:rsidR="00707E3F" w:rsidRPr="00EA37D5" w:rsidRDefault="00707E3F" w:rsidP="00707E3F">
      <w:pPr>
        <w:shd w:val="clear" w:color="auto" w:fill="FFFFFF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A37D5">
        <w:rPr>
          <w:rFonts w:ascii="Times New Roman" w:hAnsi="Times New Roman" w:cs="Times New Roman"/>
          <w:sz w:val="28"/>
          <w:szCs w:val="28"/>
        </w:rPr>
        <w:t>Анализ мониторинга предложений на рынке элитной недвижимости свидетельствует о том, что наиболее высокой популярностью дома, площадь которых составляет около 300 квадратных метров.</w:t>
      </w:r>
    </w:p>
    <w:p w14:paraId="4668722C" w14:textId="2BF8EFBC" w:rsidR="00707E3F" w:rsidRPr="00EA37D5" w:rsidRDefault="00707E3F" w:rsidP="00707E3F">
      <w:pPr>
        <w:shd w:val="clear" w:color="auto" w:fill="FFFFFF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A37D5">
        <w:rPr>
          <w:rFonts w:ascii="Times New Roman" w:hAnsi="Times New Roman" w:cs="Times New Roman"/>
          <w:sz w:val="28"/>
          <w:szCs w:val="28"/>
        </w:rPr>
        <w:t xml:space="preserve"> Наиболее крупными коттеджами, выставленными </w:t>
      </w:r>
      <w:proofErr w:type="gramStart"/>
      <w:r w:rsidRPr="00EA37D5">
        <w:rPr>
          <w:rFonts w:ascii="Times New Roman" w:hAnsi="Times New Roman" w:cs="Times New Roman"/>
          <w:sz w:val="28"/>
          <w:szCs w:val="28"/>
        </w:rPr>
        <w:t>на</w:t>
      </w:r>
      <w:r w:rsidR="00EA37D5" w:rsidRPr="00EA37D5">
        <w:rPr>
          <w:rFonts w:ascii="Times New Roman" w:hAnsi="Times New Roman" w:cs="Times New Roman"/>
          <w:sz w:val="28"/>
          <w:szCs w:val="28"/>
        </w:rPr>
        <w:t xml:space="preserve"> </w:t>
      </w:r>
      <w:r w:rsidRPr="00EA37D5">
        <w:rPr>
          <w:rFonts w:ascii="Times New Roman" w:hAnsi="Times New Roman" w:cs="Times New Roman"/>
          <w:sz w:val="28"/>
          <w:szCs w:val="28"/>
        </w:rPr>
        <w:t>экспозицию</w:t>
      </w:r>
      <w:proofErr w:type="gramEnd"/>
      <w:r w:rsidRPr="00EA37D5">
        <w:rPr>
          <w:rFonts w:ascii="Times New Roman" w:hAnsi="Times New Roman" w:cs="Times New Roman"/>
          <w:sz w:val="28"/>
          <w:szCs w:val="28"/>
        </w:rPr>
        <w:t xml:space="preserve"> являются дома площадью 450 квадратных метров.</w:t>
      </w:r>
    </w:p>
    <w:p w14:paraId="2FF0D11C" w14:textId="1F116991" w:rsidR="00707E3F" w:rsidRPr="00EA37D5" w:rsidRDefault="00707E3F" w:rsidP="00707E3F">
      <w:pPr>
        <w:shd w:val="clear" w:color="auto" w:fill="FFFFFF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A37D5">
        <w:rPr>
          <w:rFonts w:ascii="Times New Roman" w:hAnsi="Times New Roman" w:cs="Times New Roman"/>
          <w:sz w:val="28"/>
          <w:szCs w:val="28"/>
        </w:rPr>
        <w:t> Продажа элитных коттеджей наиболее активно ведется в нагорной части города. Именно здесь расположены коттеджные поселки «клубного» типа.</w:t>
      </w:r>
    </w:p>
    <w:p w14:paraId="4492F1D1" w14:textId="77777777" w:rsidR="00707E3F" w:rsidRPr="00EA37D5" w:rsidRDefault="00707E3F" w:rsidP="00707E3F">
      <w:pPr>
        <w:shd w:val="clear" w:color="auto" w:fill="FFFFFF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A37D5">
        <w:rPr>
          <w:rFonts w:ascii="Times New Roman" w:hAnsi="Times New Roman" w:cs="Times New Roman"/>
          <w:sz w:val="28"/>
          <w:szCs w:val="28"/>
        </w:rPr>
        <w:lastRenderedPageBreak/>
        <w:t> Уже традиционно это направление является, не только популярным, но и престижным и, как следствие, дорогим. Это обусловлено, как качеством недвижимости, ее классом и окружающей инфраструктурой расположением бора, так и достаточно близкого расположения к центру города.</w:t>
      </w:r>
    </w:p>
    <w:p w14:paraId="5453C62D" w14:textId="77777777" w:rsidR="00707E3F" w:rsidRPr="00EA37D5" w:rsidRDefault="00707E3F" w:rsidP="00707E3F">
      <w:pPr>
        <w:shd w:val="clear" w:color="auto" w:fill="FFFFFF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A37D5">
        <w:rPr>
          <w:rFonts w:ascii="Times New Roman" w:hAnsi="Times New Roman" w:cs="Times New Roman"/>
          <w:sz w:val="28"/>
          <w:szCs w:val="28"/>
        </w:rPr>
        <w:t> В секторе среднего и бюджетного ценового диапазона лидирует продажа коттеджей в области площадью от 150 квадратных метров. При этом процесс ценообразования зависит от вида основного материала, из которого возведен дом.</w:t>
      </w:r>
    </w:p>
    <w:p w14:paraId="2CE691BA" w14:textId="77777777" w:rsidR="00707E3F" w:rsidRPr="00EA37D5" w:rsidRDefault="00707E3F" w:rsidP="00707E3F">
      <w:pPr>
        <w:shd w:val="clear" w:color="auto" w:fill="FFFFFF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A37D5">
        <w:rPr>
          <w:rFonts w:ascii="Times New Roman" w:hAnsi="Times New Roman" w:cs="Times New Roman"/>
          <w:sz w:val="28"/>
          <w:szCs w:val="28"/>
        </w:rPr>
        <w:t xml:space="preserve"> Все более популярными из доступных коттеджей, становятся дома построенные из </w:t>
      </w:r>
      <w:proofErr w:type="spellStart"/>
      <w:r w:rsidRPr="00EA37D5">
        <w:rPr>
          <w:rFonts w:ascii="Times New Roman" w:hAnsi="Times New Roman" w:cs="Times New Roman"/>
          <w:sz w:val="28"/>
          <w:szCs w:val="28"/>
        </w:rPr>
        <w:t>газоблока</w:t>
      </w:r>
      <w:proofErr w:type="spellEnd"/>
      <w:r w:rsidRPr="00EA37D5">
        <w:rPr>
          <w:rFonts w:ascii="Times New Roman" w:hAnsi="Times New Roman" w:cs="Times New Roman"/>
          <w:sz w:val="28"/>
          <w:szCs w:val="28"/>
        </w:rPr>
        <w:t>, который отличается качественными характеристиками и выгодной ценой.</w:t>
      </w:r>
    </w:p>
    <w:p w14:paraId="24715D32" w14:textId="77777777" w:rsidR="00707E3F" w:rsidRPr="00EA37D5" w:rsidRDefault="00707E3F" w:rsidP="00707E3F">
      <w:pPr>
        <w:shd w:val="clear" w:color="auto" w:fill="FFFFFF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A37D5">
        <w:rPr>
          <w:rFonts w:ascii="Times New Roman" w:hAnsi="Times New Roman" w:cs="Times New Roman"/>
          <w:sz w:val="28"/>
          <w:szCs w:val="28"/>
        </w:rPr>
        <w:t> При этом, как и ранее, на рынке загородной недвижимости присутствует разрозненность, которая выражается в стихийности застроек и отсутствии в ряде районов надлежащей инфраструктуры. </w:t>
      </w:r>
    </w:p>
    <w:p w14:paraId="2C110BBA" w14:textId="0027650E" w:rsidR="00707E3F" w:rsidRPr="00EA37D5" w:rsidRDefault="00707E3F" w:rsidP="00707E3F">
      <w:pPr>
        <w:shd w:val="clear" w:color="auto" w:fill="FFFFFF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A37D5">
        <w:rPr>
          <w:rFonts w:ascii="Times New Roman" w:hAnsi="Times New Roman" w:cs="Times New Roman"/>
          <w:sz w:val="28"/>
          <w:szCs w:val="28"/>
        </w:rPr>
        <w:t> В настоящее время около 4 поселков предлагает подобную недвижимость в широком ассортименте, благодаря чему также удешевляется продажа коттеджей.</w:t>
      </w:r>
    </w:p>
    <w:p w14:paraId="025C8608" w14:textId="3999DE3F" w:rsidR="00EA37D5" w:rsidRPr="00EA37D5" w:rsidRDefault="00EA37D5" w:rsidP="00707E3F">
      <w:pPr>
        <w:shd w:val="clear" w:color="auto" w:fill="FFFFFF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A37D5">
        <w:rPr>
          <w:rFonts w:ascii="Times New Roman" w:hAnsi="Times New Roman" w:cs="Times New Roman"/>
          <w:sz w:val="28"/>
          <w:szCs w:val="28"/>
        </w:rPr>
        <w:t>Из-за официальной статистической классификации существует некоторая путаница относительно понимания таких категорий, как малоэтажное жилье, индивидуальное жилье и жилье, построенное за счет собственных средств.</w:t>
      </w:r>
    </w:p>
    <w:p w14:paraId="640509E8" w14:textId="77777777" w:rsidR="00EA37D5" w:rsidRPr="00EA37D5" w:rsidRDefault="00EA37D5" w:rsidP="00EA37D5">
      <w:pPr>
        <w:shd w:val="clear" w:color="auto" w:fill="FFFFFF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A37D5">
        <w:rPr>
          <w:rFonts w:ascii="Times New Roman" w:hAnsi="Times New Roman" w:cs="Times New Roman"/>
          <w:sz w:val="28"/>
          <w:szCs w:val="28"/>
        </w:rPr>
        <w:t>Практически все дома, рассчитанные исключительно на одну семью (коттеджи), являются малоэтажными, но могут быть построены не обязательно за счет собственных средств, а сторонней фирмой. Критерием отличия индивидуального жилья от коллективного является наличие общей стены. В данном случае речь идет об эксплуатации готового жилья. К малоэтажному жилью относятся: дома на одного человека или одну семью (коттеджи), малоэтажные дома с множеством квартир и малоэтажные дома на 2-8 квартир и таунхаусы. Этажность малоэтажного дома не превышает 4 этажей.</w:t>
      </w:r>
    </w:p>
    <w:p w14:paraId="5EEFF5D2" w14:textId="630323DA" w:rsidR="00EA37D5" w:rsidRDefault="00EA37D5" w:rsidP="00EA37D5">
      <w:pPr>
        <w:shd w:val="clear" w:color="auto" w:fill="FFFFFF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A37D5">
        <w:rPr>
          <w:rFonts w:ascii="Times New Roman" w:hAnsi="Times New Roman" w:cs="Times New Roman"/>
          <w:sz w:val="28"/>
          <w:szCs w:val="28"/>
        </w:rPr>
        <w:t xml:space="preserve">Помимо коттеджных поселков в городе Барнауле так же преобладает наличие обширного частного сектора в черте города </w:t>
      </w:r>
      <w:proofErr w:type="gramStart"/>
      <w:r w:rsidRPr="00EA37D5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EA37D5">
        <w:rPr>
          <w:rFonts w:ascii="Times New Roman" w:hAnsi="Times New Roman" w:cs="Times New Roman"/>
          <w:sz w:val="28"/>
          <w:szCs w:val="28"/>
        </w:rPr>
        <w:t xml:space="preserve"> как и индивидуальные жилые дома сегмента эконом-класса так и строительство новых коттеджей. </w:t>
      </w:r>
      <w:r w:rsidR="007C73A8">
        <w:rPr>
          <w:rFonts w:ascii="Times New Roman" w:hAnsi="Times New Roman" w:cs="Times New Roman"/>
          <w:sz w:val="28"/>
          <w:szCs w:val="28"/>
        </w:rPr>
        <w:t xml:space="preserve">Я </w:t>
      </w:r>
      <w:r w:rsidRPr="00EA37D5">
        <w:rPr>
          <w:rFonts w:ascii="Times New Roman" w:hAnsi="Times New Roman" w:cs="Times New Roman"/>
          <w:sz w:val="28"/>
          <w:szCs w:val="28"/>
        </w:rPr>
        <w:t>провел</w:t>
      </w:r>
      <w:r w:rsidR="007C73A8">
        <w:rPr>
          <w:rFonts w:ascii="Times New Roman" w:hAnsi="Times New Roman" w:cs="Times New Roman"/>
          <w:sz w:val="28"/>
          <w:szCs w:val="28"/>
        </w:rPr>
        <w:t>а</w:t>
      </w:r>
      <w:r w:rsidRPr="00EA37D5">
        <w:rPr>
          <w:rFonts w:ascii="Times New Roman" w:hAnsi="Times New Roman" w:cs="Times New Roman"/>
          <w:sz w:val="28"/>
          <w:szCs w:val="28"/>
        </w:rPr>
        <w:t xml:space="preserve"> анализ рынка жилых домов по районам города, цены распределились следующим образом.</w:t>
      </w:r>
    </w:p>
    <w:p w14:paraId="261F4DDD" w14:textId="0B42252C" w:rsidR="007C73A8" w:rsidRPr="00EA37D5" w:rsidRDefault="007C73A8" w:rsidP="00EA37D5">
      <w:pPr>
        <w:shd w:val="clear" w:color="auto" w:fill="FFFFFF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2-</w:t>
      </w:r>
      <w:r w:rsidRPr="007C73A8"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73A8">
        <w:rPr>
          <w:rFonts w:ascii="Times New Roman" w:hAnsi="Times New Roman" w:cs="Times New Roman"/>
          <w:sz w:val="28"/>
          <w:szCs w:val="28"/>
        </w:rPr>
        <w:t>нализ рынка жилых домов по районам города</w:t>
      </w:r>
      <w:r>
        <w:rPr>
          <w:rFonts w:ascii="Times New Roman" w:hAnsi="Times New Roman" w:cs="Times New Roman"/>
          <w:sz w:val="28"/>
          <w:szCs w:val="28"/>
        </w:rPr>
        <w:t xml:space="preserve"> Барнаула</w:t>
      </w:r>
    </w:p>
    <w:p w14:paraId="544873E4" w14:textId="77777777" w:rsidR="00EA37D5" w:rsidRPr="00EA37D5" w:rsidRDefault="00EA37D5" w:rsidP="00EA37D5">
      <w:pPr>
        <w:shd w:val="clear" w:color="auto" w:fill="FFFFFF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33" w:type="dxa"/>
        <w:tblInd w:w="108" w:type="dxa"/>
        <w:tblLook w:val="01E0" w:firstRow="1" w:lastRow="1" w:firstColumn="1" w:lastColumn="1" w:noHBand="0" w:noVBand="0"/>
      </w:tblPr>
      <w:tblGrid>
        <w:gridCol w:w="4852"/>
        <w:gridCol w:w="4709"/>
        <w:gridCol w:w="5572"/>
      </w:tblGrid>
      <w:tr w:rsidR="00EA37D5" w:rsidRPr="00EA37D5" w14:paraId="5E7ECAE2" w14:textId="77777777" w:rsidTr="00EA37D5">
        <w:trPr>
          <w:trHeight w:val="22"/>
        </w:trPr>
        <w:tc>
          <w:tcPr>
            <w:tcW w:w="4852" w:type="dxa"/>
            <w:shd w:val="clear" w:color="auto" w:fill="auto"/>
            <w:vAlign w:val="center"/>
          </w:tcPr>
          <w:p w14:paraId="6F652608" w14:textId="77777777" w:rsidR="00EA37D5" w:rsidRPr="00F23E6F" w:rsidRDefault="00EA37D5" w:rsidP="00977B6F">
            <w:pPr>
              <w:pStyle w:val="ac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23E6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района</w:t>
            </w:r>
          </w:p>
        </w:tc>
        <w:tc>
          <w:tcPr>
            <w:tcW w:w="4709" w:type="dxa"/>
            <w:shd w:val="clear" w:color="auto" w:fill="auto"/>
            <w:vAlign w:val="center"/>
          </w:tcPr>
          <w:p w14:paraId="1670E790" w14:textId="77777777" w:rsidR="00EA37D5" w:rsidRPr="00F23E6F" w:rsidRDefault="00EA37D5" w:rsidP="00977B6F">
            <w:pPr>
              <w:pStyle w:val="ac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23E6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Средние удельные показатели цены предложений по индивидуальным жилым </w:t>
            </w:r>
            <w:proofErr w:type="gramStart"/>
            <w:r w:rsidRPr="00F23E6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домам  г.</w:t>
            </w:r>
            <w:proofErr w:type="gramEnd"/>
            <w:r w:rsidRPr="00F23E6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Барнаула, </w:t>
            </w:r>
            <w:proofErr w:type="spellStart"/>
            <w:r w:rsidRPr="00F23E6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кв.м</w:t>
            </w:r>
            <w:proofErr w:type="spellEnd"/>
            <w:r w:rsidRPr="00F23E6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5572" w:type="dxa"/>
            <w:shd w:val="clear" w:color="auto" w:fill="auto"/>
            <w:vAlign w:val="center"/>
          </w:tcPr>
          <w:p w14:paraId="04702D19" w14:textId="77777777" w:rsidR="00EA37D5" w:rsidRPr="00F23E6F" w:rsidRDefault="00EA37D5" w:rsidP="00977B6F">
            <w:pPr>
              <w:pStyle w:val="ac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23E6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Средние удельные показатели цены предложений по земельным участкам ИЖС, г. Барнаула, </w:t>
            </w:r>
            <w:proofErr w:type="spellStart"/>
            <w:r w:rsidRPr="00F23E6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кв.м</w:t>
            </w:r>
            <w:proofErr w:type="spellEnd"/>
            <w:r w:rsidRPr="00F23E6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EA37D5" w:rsidRPr="00EA37D5" w14:paraId="2F777533" w14:textId="77777777" w:rsidTr="00EA37D5">
        <w:trPr>
          <w:trHeight w:val="11"/>
        </w:trPr>
        <w:tc>
          <w:tcPr>
            <w:tcW w:w="4852" w:type="dxa"/>
            <w:vAlign w:val="center"/>
          </w:tcPr>
          <w:p w14:paraId="413A1FC9" w14:textId="77777777" w:rsidR="00EA37D5" w:rsidRPr="00F23E6F" w:rsidRDefault="00EA37D5" w:rsidP="00977B6F">
            <w:pPr>
              <w:pStyle w:val="ac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23E6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Ленинский</w:t>
            </w:r>
          </w:p>
        </w:tc>
        <w:tc>
          <w:tcPr>
            <w:tcW w:w="4709" w:type="dxa"/>
            <w:vAlign w:val="center"/>
          </w:tcPr>
          <w:p w14:paraId="6DE23A22" w14:textId="77777777" w:rsidR="00EA37D5" w:rsidRPr="00F23E6F" w:rsidRDefault="00EA37D5" w:rsidP="00977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6F">
              <w:rPr>
                <w:rFonts w:ascii="Times New Roman" w:hAnsi="Times New Roman" w:cs="Times New Roman"/>
                <w:sz w:val="28"/>
                <w:szCs w:val="28"/>
              </w:rPr>
              <w:t>≈32 900</w:t>
            </w:r>
          </w:p>
        </w:tc>
        <w:tc>
          <w:tcPr>
            <w:tcW w:w="5572" w:type="dxa"/>
            <w:vAlign w:val="center"/>
          </w:tcPr>
          <w:p w14:paraId="1ADD1B92" w14:textId="77777777" w:rsidR="00EA37D5" w:rsidRPr="00F23E6F" w:rsidRDefault="00EA37D5" w:rsidP="00977B6F">
            <w:pPr>
              <w:pStyle w:val="ac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23E6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≈1 070</w:t>
            </w:r>
          </w:p>
        </w:tc>
      </w:tr>
      <w:tr w:rsidR="00EA37D5" w:rsidRPr="00EA37D5" w14:paraId="189D348D" w14:textId="77777777" w:rsidTr="00EA37D5">
        <w:trPr>
          <w:trHeight w:val="22"/>
        </w:trPr>
        <w:tc>
          <w:tcPr>
            <w:tcW w:w="4852" w:type="dxa"/>
            <w:vAlign w:val="center"/>
          </w:tcPr>
          <w:p w14:paraId="14D7F21B" w14:textId="77777777" w:rsidR="00EA37D5" w:rsidRPr="00F23E6F" w:rsidRDefault="00EA37D5" w:rsidP="00977B6F">
            <w:pPr>
              <w:pStyle w:val="ac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23E6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Октябрьский</w:t>
            </w:r>
          </w:p>
        </w:tc>
        <w:tc>
          <w:tcPr>
            <w:tcW w:w="4709" w:type="dxa"/>
            <w:vAlign w:val="center"/>
          </w:tcPr>
          <w:p w14:paraId="3B6FC1B6" w14:textId="77777777" w:rsidR="00EA37D5" w:rsidRPr="00F23E6F" w:rsidRDefault="00EA37D5" w:rsidP="00977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6F">
              <w:rPr>
                <w:rFonts w:ascii="Times New Roman" w:hAnsi="Times New Roman" w:cs="Times New Roman"/>
                <w:sz w:val="28"/>
                <w:szCs w:val="28"/>
              </w:rPr>
              <w:t>≈32 900</w:t>
            </w:r>
          </w:p>
        </w:tc>
        <w:tc>
          <w:tcPr>
            <w:tcW w:w="5572" w:type="dxa"/>
            <w:vAlign w:val="center"/>
          </w:tcPr>
          <w:p w14:paraId="49673D08" w14:textId="77777777" w:rsidR="00EA37D5" w:rsidRPr="00F23E6F" w:rsidRDefault="00EA37D5" w:rsidP="00977B6F">
            <w:pPr>
              <w:pStyle w:val="ac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23E6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≈1 850</w:t>
            </w:r>
          </w:p>
        </w:tc>
      </w:tr>
      <w:tr w:rsidR="00EA37D5" w:rsidRPr="00EA37D5" w14:paraId="0E9F92BB" w14:textId="77777777" w:rsidTr="00EA37D5">
        <w:trPr>
          <w:trHeight w:val="22"/>
        </w:trPr>
        <w:tc>
          <w:tcPr>
            <w:tcW w:w="4852" w:type="dxa"/>
            <w:vAlign w:val="center"/>
          </w:tcPr>
          <w:p w14:paraId="61F5B420" w14:textId="77777777" w:rsidR="00EA37D5" w:rsidRPr="00F23E6F" w:rsidRDefault="00EA37D5" w:rsidP="00977B6F">
            <w:pPr>
              <w:pStyle w:val="ac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23E6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Индустриальный</w:t>
            </w:r>
          </w:p>
        </w:tc>
        <w:tc>
          <w:tcPr>
            <w:tcW w:w="4709" w:type="dxa"/>
            <w:vAlign w:val="center"/>
          </w:tcPr>
          <w:p w14:paraId="2A0C2497" w14:textId="77777777" w:rsidR="00EA37D5" w:rsidRPr="00F23E6F" w:rsidRDefault="00EA37D5" w:rsidP="00977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6F">
              <w:rPr>
                <w:rFonts w:ascii="Times New Roman" w:hAnsi="Times New Roman" w:cs="Times New Roman"/>
                <w:sz w:val="28"/>
                <w:szCs w:val="28"/>
              </w:rPr>
              <w:t>≈32 900</w:t>
            </w:r>
          </w:p>
        </w:tc>
        <w:tc>
          <w:tcPr>
            <w:tcW w:w="5572" w:type="dxa"/>
            <w:vAlign w:val="center"/>
          </w:tcPr>
          <w:p w14:paraId="2EE47D16" w14:textId="77777777" w:rsidR="00EA37D5" w:rsidRPr="00F23E6F" w:rsidRDefault="00EA37D5" w:rsidP="00977B6F">
            <w:pPr>
              <w:pStyle w:val="ac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23E6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≈2 900</w:t>
            </w:r>
          </w:p>
        </w:tc>
      </w:tr>
      <w:tr w:rsidR="00EA37D5" w:rsidRPr="00EA37D5" w14:paraId="58DB5CC7" w14:textId="77777777" w:rsidTr="00EA37D5">
        <w:trPr>
          <w:trHeight w:val="22"/>
        </w:trPr>
        <w:tc>
          <w:tcPr>
            <w:tcW w:w="4852" w:type="dxa"/>
            <w:vAlign w:val="center"/>
          </w:tcPr>
          <w:p w14:paraId="1ACCCC54" w14:textId="77777777" w:rsidR="00EA37D5" w:rsidRPr="00F23E6F" w:rsidRDefault="00EA37D5" w:rsidP="00977B6F">
            <w:pPr>
              <w:pStyle w:val="ac"/>
              <w:spacing w:before="0" w:beforeAutospacing="0" w:after="0" w:afterAutospacing="0"/>
              <w:ind w:left="-288" w:firstLine="28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23E6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Железнодорожный</w:t>
            </w:r>
          </w:p>
        </w:tc>
        <w:tc>
          <w:tcPr>
            <w:tcW w:w="4709" w:type="dxa"/>
            <w:vAlign w:val="center"/>
          </w:tcPr>
          <w:p w14:paraId="3DC7756D" w14:textId="77777777" w:rsidR="00EA37D5" w:rsidRPr="00F23E6F" w:rsidRDefault="00EA37D5" w:rsidP="00977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6F">
              <w:rPr>
                <w:rFonts w:ascii="Times New Roman" w:hAnsi="Times New Roman" w:cs="Times New Roman"/>
                <w:sz w:val="28"/>
                <w:szCs w:val="28"/>
              </w:rPr>
              <w:t>≈32 900</w:t>
            </w:r>
          </w:p>
        </w:tc>
        <w:tc>
          <w:tcPr>
            <w:tcW w:w="5572" w:type="dxa"/>
            <w:vAlign w:val="center"/>
          </w:tcPr>
          <w:p w14:paraId="27F0B84E" w14:textId="77777777" w:rsidR="00EA37D5" w:rsidRPr="00F23E6F" w:rsidRDefault="00EA37D5" w:rsidP="00977B6F">
            <w:pPr>
              <w:pStyle w:val="ac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23E6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≈2 850</w:t>
            </w:r>
          </w:p>
        </w:tc>
      </w:tr>
      <w:tr w:rsidR="00EA37D5" w:rsidRPr="00EA37D5" w14:paraId="6DC9DBED" w14:textId="77777777" w:rsidTr="00EA37D5">
        <w:trPr>
          <w:trHeight w:val="22"/>
        </w:trPr>
        <w:tc>
          <w:tcPr>
            <w:tcW w:w="4852" w:type="dxa"/>
            <w:vAlign w:val="center"/>
          </w:tcPr>
          <w:p w14:paraId="72833354" w14:textId="77777777" w:rsidR="00EA37D5" w:rsidRPr="00F23E6F" w:rsidRDefault="00EA37D5" w:rsidP="00977B6F">
            <w:pPr>
              <w:pStyle w:val="ac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23E6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Центральный</w:t>
            </w:r>
          </w:p>
        </w:tc>
        <w:tc>
          <w:tcPr>
            <w:tcW w:w="4709" w:type="dxa"/>
            <w:vAlign w:val="center"/>
          </w:tcPr>
          <w:p w14:paraId="2E551314" w14:textId="77777777" w:rsidR="00EA37D5" w:rsidRPr="00F23E6F" w:rsidRDefault="00EA37D5" w:rsidP="00977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6F">
              <w:rPr>
                <w:rFonts w:ascii="Times New Roman" w:hAnsi="Times New Roman" w:cs="Times New Roman"/>
                <w:sz w:val="28"/>
                <w:szCs w:val="28"/>
              </w:rPr>
              <w:t>≈32 900</w:t>
            </w:r>
          </w:p>
          <w:p w14:paraId="10C9BFF5" w14:textId="77777777" w:rsidR="00EA37D5" w:rsidRPr="00F23E6F" w:rsidRDefault="00EA37D5" w:rsidP="00977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D5DDBE" w14:textId="77777777" w:rsidR="00EA37D5" w:rsidRPr="00F23E6F" w:rsidRDefault="00EA37D5" w:rsidP="00977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6F">
              <w:rPr>
                <w:rFonts w:ascii="Times New Roman" w:hAnsi="Times New Roman" w:cs="Times New Roman"/>
                <w:sz w:val="28"/>
                <w:szCs w:val="28"/>
              </w:rPr>
              <w:t>Коттеджи ≈57 200</w:t>
            </w:r>
          </w:p>
        </w:tc>
        <w:tc>
          <w:tcPr>
            <w:tcW w:w="5572" w:type="dxa"/>
            <w:vAlign w:val="center"/>
          </w:tcPr>
          <w:p w14:paraId="75A87D4A" w14:textId="77777777" w:rsidR="00EA37D5" w:rsidRPr="00F23E6F" w:rsidRDefault="00EA37D5" w:rsidP="00977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≈3 150</w:t>
            </w:r>
          </w:p>
          <w:p w14:paraId="5BDB73B8" w14:textId="77777777" w:rsidR="00EA37D5" w:rsidRPr="00F23E6F" w:rsidRDefault="00EA37D5" w:rsidP="00977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35328" w14:textId="77777777" w:rsidR="00EA37D5" w:rsidRPr="00F23E6F" w:rsidRDefault="00EA37D5" w:rsidP="00977B6F">
            <w:pPr>
              <w:pStyle w:val="ac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23E6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≈8 500</w:t>
            </w:r>
          </w:p>
        </w:tc>
      </w:tr>
    </w:tbl>
    <w:p w14:paraId="6E3B77E6" w14:textId="77777777" w:rsidR="00EA37D5" w:rsidRPr="00EA37D5" w:rsidRDefault="00EA37D5" w:rsidP="00707E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2B27C2" w14:textId="3E88E873" w:rsidR="00616E6E" w:rsidRDefault="00EA37D5" w:rsidP="00EA37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D5">
        <w:rPr>
          <w:rFonts w:ascii="Times New Roman" w:hAnsi="Times New Roman" w:cs="Times New Roman"/>
          <w:sz w:val="28"/>
          <w:szCs w:val="28"/>
        </w:rPr>
        <w:t xml:space="preserve">Анализируя структуру предложения по районам города Барнаула, мы видим, что основная часть предложений приходится на Центральный район и составляет 39 %. </w:t>
      </w:r>
    </w:p>
    <w:p w14:paraId="3C4F5364" w14:textId="60E62A8E" w:rsidR="00616E6E" w:rsidRDefault="00EA37D5" w:rsidP="00F23E6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2F6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D87A9FC" wp14:editId="64437BA3">
            <wp:extent cx="6585735" cy="3673052"/>
            <wp:effectExtent l="0" t="0" r="5715" b="381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78CC740" w14:textId="6691658A" w:rsidR="007C0E6A" w:rsidRPr="0058037A" w:rsidRDefault="007C73A8" w:rsidP="007C73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2 -</w:t>
      </w:r>
      <w:r w:rsidRPr="007C73A8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C73A8">
        <w:rPr>
          <w:rFonts w:ascii="Times New Roman" w:hAnsi="Times New Roman" w:cs="Times New Roman"/>
          <w:sz w:val="28"/>
          <w:szCs w:val="28"/>
        </w:rPr>
        <w:t>труктур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73A8">
        <w:rPr>
          <w:rFonts w:ascii="Times New Roman" w:hAnsi="Times New Roman" w:cs="Times New Roman"/>
          <w:sz w:val="28"/>
          <w:szCs w:val="28"/>
        </w:rPr>
        <w:t xml:space="preserve"> предложения по районам города Барнаула</w:t>
      </w:r>
    </w:p>
    <w:p w14:paraId="0EC49EDF" w14:textId="77777777" w:rsidR="00035EA8" w:rsidRPr="0058037A" w:rsidRDefault="007C0E6A" w:rsidP="005803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37A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14:paraId="07E4B64C" w14:textId="77777777" w:rsidR="00553680" w:rsidRPr="00553680" w:rsidRDefault="00553680" w:rsidP="005536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3680">
        <w:rPr>
          <w:rFonts w:ascii="Times New Roman" w:hAnsi="Times New Roman" w:cs="Times New Roman"/>
          <w:sz w:val="28"/>
          <w:szCs w:val="28"/>
        </w:rPr>
        <w:t xml:space="preserve">Электронный ресурс «База недвижимости </w:t>
      </w:r>
      <w:proofErr w:type="spellStart"/>
      <w:r w:rsidRPr="00553680">
        <w:rPr>
          <w:rFonts w:ascii="Times New Roman" w:hAnsi="Times New Roman" w:cs="Times New Roman"/>
          <w:sz w:val="28"/>
          <w:szCs w:val="28"/>
        </w:rPr>
        <w:t>Авито</w:t>
      </w:r>
      <w:proofErr w:type="spellEnd"/>
      <w:r w:rsidRPr="00553680">
        <w:rPr>
          <w:rFonts w:ascii="Times New Roman" w:hAnsi="Times New Roman" w:cs="Times New Roman"/>
          <w:sz w:val="28"/>
          <w:szCs w:val="28"/>
        </w:rPr>
        <w:t>». Форма доступа: http://www.avito.ru/barnaul/</w:t>
      </w:r>
    </w:p>
    <w:p w14:paraId="765A1104" w14:textId="52E11748" w:rsidR="00553680" w:rsidRPr="00553680" w:rsidRDefault="00553680" w:rsidP="005536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3680">
        <w:rPr>
          <w:rFonts w:ascii="Times New Roman" w:hAnsi="Times New Roman" w:cs="Times New Roman"/>
          <w:sz w:val="28"/>
          <w:szCs w:val="28"/>
        </w:rPr>
        <w:t>Электронный ресурс «База недвижимости Циан». Форма доступа: http://www.cian.ru/</w:t>
      </w:r>
    </w:p>
    <w:p w14:paraId="313BD771" w14:textId="52D00CC2" w:rsidR="00553680" w:rsidRPr="00553680" w:rsidRDefault="00553680" w:rsidP="005536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3680">
        <w:rPr>
          <w:rFonts w:ascii="Times New Roman" w:hAnsi="Times New Roman" w:cs="Times New Roman"/>
          <w:sz w:val="28"/>
          <w:szCs w:val="28"/>
        </w:rPr>
        <w:t>Электронный ресурс «</w:t>
      </w:r>
      <w:proofErr w:type="spellStart"/>
      <w:r w:rsidRPr="00553680">
        <w:rPr>
          <w:rFonts w:ascii="Times New Roman" w:hAnsi="Times New Roman" w:cs="Times New Roman"/>
          <w:sz w:val="28"/>
          <w:szCs w:val="28"/>
        </w:rPr>
        <w:t>Домклик</w:t>
      </w:r>
      <w:proofErr w:type="spellEnd"/>
      <w:r w:rsidRPr="00553680">
        <w:rPr>
          <w:rFonts w:ascii="Times New Roman" w:hAnsi="Times New Roman" w:cs="Times New Roman"/>
          <w:sz w:val="28"/>
          <w:szCs w:val="28"/>
        </w:rPr>
        <w:t>». Форма доступа: https://domclick.ru/</w:t>
      </w:r>
    </w:p>
    <w:p w14:paraId="73F704B7" w14:textId="4C9BBA4D" w:rsidR="00076B4E" w:rsidRPr="0058037A" w:rsidRDefault="00076B4E" w:rsidP="0058037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37A">
        <w:rPr>
          <w:rFonts w:ascii="Times New Roman" w:hAnsi="Times New Roman" w:cs="Times New Roman"/>
          <w:sz w:val="28"/>
          <w:szCs w:val="28"/>
        </w:rPr>
        <w:lastRenderedPageBreak/>
        <w:t>Электронный ресурс «Официальный сайт Алтайского края». Форма доступа: http://www.altairegion22.ru/</w:t>
      </w:r>
    </w:p>
    <w:p w14:paraId="667CCC86" w14:textId="77777777" w:rsidR="007C0E6A" w:rsidRPr="0058037A" w:rsidRDefault="007C0E6A" w:rsidP="005803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C0E6A" w:rsidRPr="0058037A" w:rsidSect="00E02FA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D34BE" w14:textId="77777777" w:rsidR="00C34C58" w:rsidRDefault="00C34C58" w:rsidP="00583284">
      <w:r>
        <w:separator/>
      </w:r>
    </w:p>
  </w:endnote>
  <w:endnote w:type="continuationSeparator" w:id="0">
    <w:p w14:paraId="31BE6273" w14:textId="77777777" w:rsidR="00C34C58" w:rsidRDefault="00C34C58" w:rsidP="0058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F589E" w14:textId="77777777" w:rsidR="00C34C58" w:rsidRDefault="00C34C58" w:rsidP="00583284">
      <w:r>
        <w:separator/>
      </w:r>
    </w:p>
  </w:footnote>
  <w:footnote w:type="continuationSeparator" w:id="0">
    <w:p w14:paraId="1A96D4A0" w14:textId="77777777" w:rsidR="00C34C58" w:rsidRDefault="00C34C58" w:rsidP="00583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92166"/>
    <w:multiLevelType w:val="hybridMultilevel"/>
    <w:tmpl w:val="D0468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F624E"/>
    <w:multiLevelType w:val="hybridMultilevel"/>
    <w:tmpl w:val="41B89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01C"/>
    <w:rsid w:val="00025E09"/>
    <w:rsid w:val="00035EA8"/>
    <w:rsid w:val="00050617"/>
    <w:rsid w:val="00056D7A"/>
    <w:rsid w:val="00063C94"/>
    <w:rsid w:val="00076B4E"/>
    <w:rsid w:val="00082B22"/>
    <w:rsid w:val="000905A8"/>
    <w:rsid w:val="000B7C4F"/>
    <w:rsid w:val="000E6897"/>
    <w:rsid w:val="00117CC0"/>
    <w:rsid w:val="00181DD7"/>
    <w:rsid w:val="00185910"/>
    <w:rsid w:val="00187FD8"/>
    <w:rsid w:val="00257548"/>
    <w:rsid w:val="002706C7"/>
    <w:rsid w:val="002A3D38"/>
    <w:rsid w:val="002C08D6"/>
    <w:rsid w:val="002C1353"/>
    <w:rsid w:val="002E7992"/>
    <w:rsid w:val="00365EE1"/>
    <w:rsid w:val="0038491B"/>
    <w:rsid w:val="003E3EB7"/>
    <w:rsid w:val="00405B2D"/>
    <w:rsid w:val="00496718"/>
    <w:rsid w:val="004A20A0"/>
    <w:rsid w:val="004E6E8D"/>
    <w:rsid w:val="00514F77"/>
    <w:rsid w:val="005468B2"/>
    <w:rsid w:val="00553680"/>
    <w:rsid w:val="0058037A"/>
    <w:rsid w:val="00583284"/>
    <w:rsid w:val="00616E6E"/>
    <w:rsid w:val="00691085"/>
    <w:rsid w:val="006A68E8"/>
    <w:rsid w:val="006C4E60"/>
    <w:rsid w:val="00701728"/>
    <w:rsid w:val="00707E3F"/>
    <w:rsid w:val="00715BF4"/>
    <w:rsid w:val="00757787"/>
    <w:rsid w:val="007635C5"/>
    <w:rsid w:val="007B35B6"/>
    <w:rsid w:val="007C0E6A"/>
    <w:rsid w:val="007C73A8"/>
    <w:rsid w:val="008108B0"/>
    <w:rsid w:val="008405CF"/>
    <w:rsid w:val="008513C5"/>
    <w:rsid w:val="0085698D"/>
    <w:rsid w:val="008F2F1B"/>
    <w:rsid w:val="009125A4"/>
    <w:rsid w:val="00917D32"/>
    <w:rsid w:val="009248E9"/>
    <w:rsid w:val="00940190"/>
    <w:rsid w:val="00954BD8"/>
    <w:rsid w:val="009663B1"/>
    <w:rsid w:val="009739E3"/>
    <w:rsid w:val="009C2401"/>
    <w:rsid w:val="009E790B"/>
    <w:rsid w:val="00A4020F"/>
    <w:rsid w:val="00AA6C6C"/>
    <w:rsid w:val="00AA717D"/>
    <w:rsid w:val="00AB3128"/>
    <w:rsid w:val="00AE2CBE"/>
    <w:rsid w:val="00AE6440"/>
    <w:rsid w:val="00B2435C"/>
    <w:rsid w:val="00C067DA"/>
    <w:rsid w:val="00C341FA"/>
    <w:rsid w:val="00C34C58"/>
    <w:rsid w:val="00CA3A29"/>
    <w:rsid w:val="00CC0D65"/>
    <w:rsid w:val="00CC50FD"/>
    <w:rsid w:val="00CC7380"/>
    <w:rsid w:val="00D23395"/>
    <w:rsid w:val="00D239AB"/>
    <w:rsid w:val="00D246DD"/>
    <w:rsid w:val="00D5001C"/>
    <w:rsid w:val="00D567F5"/>
    <w:rsid w:val="00D6382B"/>
    <w:rsid w:val="00D91768"/>
    <w:rsid w:val="00DA4CF6"/>
    <w:rsid w:val="00DC5119"/>
    <w:rsid w:val="00DC6561"/>
    <w:rsid w:val="00E02FA0"/>
    <w:rsid w:val="00E91AD1"/>
    <w:rsid w:val="00E9463F"/>
    <w:rsid w:val="00EA37D5"/>
    <w:rsid w:val="00EF7507"/>
    <w:rsid w:val="00F23E6F"/>
    <w:rsid w:val="00F3028C"/>
    <w:rsid w:val="00F43617"/>
    <w:rsid w:val="00F47AF0"/>
    <w:rsid w:val="00F5052B"/>
    <w:rsid w:val="00FC7402"/>
    <w:rsid w:val="00FE3EC8"/>
    <w:rsid w:val="00FE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C08A"/>
  <w15:docId w15:val="{F4EC4E48-859F-4B23-9752-07279FC1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E09"/>
    <w:pPr>
      <w:ind w:left="720"/>
      <w:contextualSpacing/>
    </w:pPr>
  </w:style>
  <w:style w:type="table" w:styleId="a4">
    <w:name w:val="Table Grid"/>
    <w:basedOn w:val="a1"/>
    <w:rsid w:val="00025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832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3284"/>
  </w:style>
  <w:style w:type="paragraph" w:styleId="a7">
    <w:name w:val="footer"/>
    <w:basedOn w:val="a"/>
    <w:link w:val="a8"/>
    <w:uiPriority w:val="99"/>
    <w:unhideWhenUsed/>
    <w:rsid w:val="005832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3284"/>
  </w:style>
  <w:style w:type="paragraph" w:styleId="a9">
    <w:name w:val="Balloon Text"/>
    <w:basedOn w:val="a"/>
    <w:link w:val="aa"/>
    <w:uiPriority w:val="99"/>
    <w:semiHidden/>
    <w:unhideWhenUsed/>
    <w:rsid w:val="00F302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028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76B4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rsid w:val="00E02FA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aliases w:val="Обычный (Web),Обычный (Web)1,Знак11,Обычный (веб) Знак Знак,Обычный (веб) Знак Знак Знак,Знак111,Обычный (Web)1111,Обычный (Web)11111,Обычный (веб)111,Обычный (веб)2,Обычный (Web) Знак Знак Знак,Обычный (Web)11,Обычный (Web)111,Знак3"/>
    <w:basedOn w:val="a"/>
    <w:link w:val="ad"/>
    <w:rsid w:val="00707E3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 w:val="24"/>
      <w:szCs w:val="24"/>
      <w:lang w:eastAsia="ru-RU"/>
    </w:rPr>
  </w:style>
  <w:style w:type="paragraph" w:customStyle="1" w:styleId="ae">
    <w:name w:val="Знак"/>
    <w:basedOn w:val="a"/>
    <w:rsid w:val="00707E3F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d">
    <w:name w:val="Обычный (Интернет) Знак"/>
    <w:aliases w:val="Обычный (Web) Знак,Обычный (Web)1 Знак,Знак11 Знак,Обычный (веб) Знак Знак Знак1,Обычный (веб) Знак Знак Знак Знак,Знак111 Знак,Обычный (Web)1111 Знак,Обычный (Web)11111 Знак,Обычный (веб)111 Знак,Обычный (веб)2 Знак,Знак3 Знак"/>
    <w:link w:val="ac"/>
    <w:locked/>
    <w:rsid w:val="00707E3F"/>
    <w:rPr>
      <w:rFonts w:ascii="Arial Unicode MS" w:eastAsia="Arial Unicode MS" w:hAnsi="Arial Unicode MS" w:cs="Arial Unicode MS"/>
      <w:color w:val="333333"/>
      <w:sz w:val="24"/>
      <w:szCs w:val="24"/>
      <w:lang w:eastAsia="ru-RU"/>
    </w:rPr>
  </w:style>
  <w:style w:type="paragraph" w:customStyle="1" w:styleId="af">
    <w:name w:val="Знак"/>
    <w:basedOn w:val="a"/>
    <w:rsid w:val="00EA37D5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Средние удельные показатели цены предложений по поселкам 
г. Барнаула</a:t>
            </a:r>
          </a:p>
        </c:rich>
      </c:tx>
      <c:layout>
        <c:manualLayout>
          <c:xMode val="edge"/>
          <c:yMode val="edge"/>
          <c:x val="0.21571648690292758"/>
          <c:y val="0"/>
        </c:manualLayout>
      </c:layout>
      <c:overlay val="0"/>
      <c:spPr>
        <a:noFill/>
        <a:ln w="28623">
          <a:noFill/>
        </a:ln>
      </c:spPr>
    </c:title>
    <c:autoTitleDeleted val="0"/>
    <c:view3D>
      <c:rotX val="20"/>
      <c:hPercent val="28"/>
      <c:rotY val="40"/>
      <c:depthPercent val="5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CCC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CCC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500770416024654E-2"/>
          <c:y val="0.19852941176470587"/>
          <c:w val="0.91987673343605547"/>
          <c:h val="0.5514705882352941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Дом</c:v>
                </c:pt>
              </c:strCache>
            </c:strRef>
          </c:tx>
          <c:spPr>
            <a:solidFill>
              <a:srgbClr val="3366FF"/>
            </a:solidFill>
            <a:ln w="28623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8080"/>
              </a:solidFill>
              <a:ln w="28623">
                <a:noFill/>
              </a:ln>
            </c:spPr>
            <c:extLst>
              <c:ext xmlns:c16="http://schemas.microsoft.com/office/drawing/2014/chart" uri="{C3380CC4-5D6E-409C-BE32-E72D297353CC}">
                <c16:uniqueId val="{00000007-AB3D-4D3C-96A0-AB039D6D5F04}"/>
              </c:ext>
            </c:extLst>
          </c:dPt>
          <c:dPt>
            <c:idx val="1"/>
            <c:invertIfNegative val="0"/>
            <c:bubble3D val="0"/>
            <c:spPr>
              <a:solidFill>
                <a:srgbClr val="00FF00"/>
              </a:solidFill>
              <a:ln w="28623">
                <a:noFill/>
              </a:ln>
            </c:spPr>
            <c:extLst>
              <c:ext xmlns:c16="http://schemas.microsoft.com/office/drawing/2014/chart" uri="{C3380CC4-5D6E-409C-BE32-E72D297353CC}">
                <c16:uniqueId val="{00000006-AB3D-4D3C-96A0-AB039D6D5F04}"/>
              </c:ext>
            </c:extLst>
          </c:dPt>
          <c:dPt>
            <c:idx val="2"/>
            <c:invertIfNegative val="0"/>
            <c:bubble3D val="0"/>
            <c:spPr>
              <a:solidFill>
                <a:srgbClr val="FF9900"/>
              </a:solidFill>
              <a:ln w="28623">
                <a:noFill/>
              </a:ln>
            </c:spPr>
            <c:extLst>
              <c:ext xmlns:c16="http://schemas.microsoft.com/office/drawing/2014/chart" uri="{C3380CC4-5D6E-409C-BE32-E72D297353CC}">
                <c16:uniqueId val="{00000005-AB3D-4D3C-96A0-AB039D6D5F04}"/>
              </c:ext>
            </c:extLst>
          </c:dPt>
          <c:dPt>
            <c:idx val="4"/>
            <c:invertIfNegative val="0"/>
            <c:bubble3D val="0"/>
            <c:spPr>
              <a:solidFill>
                <a:srgbClr val="FFCC00"/>
              </a:solidFill>
              <a:ln w="28623">
                <a:noFill/>
              </a:ln>
            </c:spPr>
            <c:extLst>
              <c:ext xmlns:c16="http://schemas.microsoft.com/office/drawing/2014/chart" uri="{C3380CC4-5D6E-409C-BE32-E72D297353CC}">
                <c16:uniqueId val="{00000004-AB3D-4D3C-96A0-AB039D6D5F04}"/>
              </c:ext>
            </c:extLst>
          </c:dPt>
          <c:dPt>
            <c:idx val="5"/>
            <c:invertIfNegative val="0"/>
            <c:bubble3D val="0"/>
            <c:spPr>
              <a:solidFill>
                <a:srgbClr val="FF99CC"/>
              </a:solidFill>
              <a:ln w="28623">
                <a:noFill/>
              </a:ln>
            </c:spPr>
            <c:extLst>
              <c:ext xmlns:c16="http://schemas.microsoft.com/office/drawing/2014/chart" uri="{C3380CC4-5D6E-409C-BE32-E72D297353CC}">
                <c16:uniqueId val="{00000003-AB3D-4D3C-96A0-AB039D6D5F04}"/>
              </c:ext>
            </c:extLst>
          </c:dPt>
          <c:dPt>
            <c:idx val="6"/>
            <c:invertIfNegative val="0"/>
            <c:bubble3D val="0"/>
            <c:spPr>
              <a:solidFill>
                <a:srgbClr val="008080"/>
              </a:solidFill>
              <a:ln w="28623">
                <a:noFill/>
              </a:ln>
            </c:spPr>
            <c:extLst>
              <c:ext xmlns:c16="http://schemas.microsoft.com/office/drawing/2014/chart" uri="{C3380CC4-5D6E-409C-BE32-E72D297353CC}">
                <c16:uniqueId val="{00000002-AB3D-4D3C-96A0-AB039D6D5F04}"/>
              </c:ext>
            </c:extLst>
          </c:dPt>
          <c:dPt>
            <c:idx val="7"/>
            <c:invertIfNegative val="0"/>
            <c:bubble3D val="0"/>
            <c:spPr>
              <a:solidFill>
                <a:srgbClr val="00FFFF"/>
              </a:solidFill>
              <a:ln w="28623">
                <a:noFill/>
              </a:ln>
            </c:spPr>
            <c:extLst>
              <c:ext xmlns:c16="http://schemas.microsoft.com/office/drawing/2014/chart" uri="{C3380CC4-5D6E-409C-BE32-E72D297353CC}">
                <c16:uniqueId val="{00000001-AB3D-4D3C-96A0-AB039D6D5F04}"/>
              </c:ext>
            </c:extLst>
          </c:dPt>
          <c:dPt>
            <c:idx val="8"/>
            <c:invertIfNegative val="0"/>
            <c:bubble3D val="0"/>
            <c:spPr>
              <a:solidFill>
                <a:srgbClr val="FF00FF"/>
              </a:solidFill>
              <a:ln w="28623">
                <a:noFill/>
              </a:ln>
            </c:spPr>
            <c:extLst>
              <c:ext xmlns:c16="http://schemas.microsoft.com/office/drawing/2014/chart" uri="{C3380CC4-5D6E-409C-BE32-E72D297353CC}">
                <c16:uniqueId val="{00000000-AB3D-4D3C-96A0-AB039D6D5F04}"/>
              </c:ext>
            </c:extLst>
          </c:dPt>
          <c:dLbls>
            <c:dLbl>
              <c:idx val="0"/>
              <c:layout>
                <c:manualLayout>
                  <c:x val="1.6179921790134721E-2"/>
                  <c:y val="3.4344680759119561E-2"/>
                </c:manualLayout>
              </c:layout>
              <c:spPr>
                <a:noFill/>
                <a:ln w="28623">
                  <a:noFill/>
                </a:ln>
              </c:spPr>
              <c:txPr>
                <a:bodyPr/>
                <a:lstStyle/>
                <a:p>
                  <a:pPr>
                    <a:defRPr sz="817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B3D-4D3C-96A0-AB039D6D5F04}"/>
                </c:ext>
              </c:extLst>
            </c:dLbl>
            <c:spPr>
              <a:noFill/>
              <a:ln w="2862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1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Sheet1!$B$1:$J$1</c:f>
              <c:strCache>
                <c:ptCount val="9"/>
                <c:pt idx="0">
                  <c:v>Солнечная Поляна</c:v>
                </c:pt>
                <c:pt idx="1">
                  <c:v>Авиатор</c:v>
                </c:pt>
                <c:pt idx="2">
                  <c:v>Спутник</c:v>
                </c:pt>
                <c:pt idx="3">
                  <c:v>Казенная Заимка</c:v>
                </c:pt>
                <c:pt idx="4">
                  <c:v>Власиха</c:v>
                </c:pt>
                <c:pt idx="5">
                  <c:v>Октябрьский</c:v>
                </c:pt>
                <c:pt idx="6">
                  <c:v>Сибирская долина</c:v>
                </c:pt>
                <c:pt idx="7">
                  <c:v>Фирсова слобода-2</c:v>
                </c:pt>
                <c:pt idx="8">
                  <c:v>Лебяжье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36600</c:v>
                </c:pt>
                <c:pt idx="1">
                  <c:v>32500</c:v>
                </c:pt>
                <c:pt idx="2">
                  <c:v>35000</c:v>
                </c:pt>
                <c:pt idx="3">
                  <c:v>28800</c:v>
                </c:pt>
                <c:pt idx="4">
                  <c:v>26700</c:v>
                </c:pt>
                <c:pt idx="5">
                  <c:v>27400</c:v>
                </c:pt>
                <c:pt idx="6">
                  <c:v>24700</c:v>
                </c:pt>
                <c:pt idx="7">
                  <c:v>32600</c:v>
                </c:pt>
                <c:pt idx="8">
                  <c:v>31500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B3D-4D3C-96A0-AB039D6D5F0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0"/>
        <c:gapDepth val="10"/>
        <c:shape val="box"/>
        <c:axId val="182214712"/>
        <c:axId val="1"/>
        <c:axId val="0"/>
      </c:bar3DChart>
      <c:catAx>
        <c:axId val="182214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5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63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578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56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руб.</a:t>
                </a:r>
              </a:p>
            </c:rich>
          </c:tx>
          <c:layout>
            <c:manualLayout>
              <c:xMode val="edge"/>
              <c:yMode val="edge"/>
              <c:x val="0.12172573189522343"/>
              <c:y val="0.11764705882352941"/>
            </c:manualLayout>
          </c:layout>
          <c:overlay val="0"/>
          <c:spPr>
            <a:noFill/>
            <a:ln w="2862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5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2214712"/>
        <c:crosses val="autoZero"/>
        <c:crossBetween val="between"/>
      </c:valAx>
      <c:spPr>
        <a:noFill/>
        <a:ln w="28623">
          <a:noFill/>
        </a:ln>
      </c:spPr>
    </c:plotArea>
    <c:plotVisOnly val="1"/>
    <c:dispBlanksAs val="gap"/>
    <c:showDLblsOverMax val="0"/>
  </c:chart>
  <c:spPr>
    <a:solidFill>
      <a:schemeClr val="bg1">
        <a:lumMod val="75000"/>
      </a:schemeClr>
    </a:solidFill>
    <a:ln w="6350" cap="flat" cmpd="sng" algn="ctr">
      <a:noFill/>
      <a:prstDash val="solid"/>
      <a:miter lim="800000"/>
      <a:headEnd type="none" w="med" len="med"/>
      <a:tailEnd type="none" w="med" len="med"/>
      <a:extLst>
        <a:ext uri="{C807C97D-BFC1-408E-A445-0C87EB9F89A2}">
          <ask:lineSketchStyleProps xmlns:ask="http://schemas.microsoft.com/office/drawing/2018/sketchyshapes" sd="0">
            <a:custGeom>
              <a:avLst/>
              <a:gdLst/>
              <a:ahLst/>
              <a:cxnLst/>
              <a:rect l="0" t="0" r="0" b="0"/>
              <a:pathLst/>
            </a:custGeom>
            <ask:type/>
          </ask:lineSketchStyleProps>
        </a:ext>
      </a:extLst>
    </a:ln>
  </c:spPr>
  <c:txPr>
    <a:bodyPr/>
    <a:lstStyle/>
    <a:p>
      <a:pPr>
        <a:defRPr sz="135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523605150214593"/>
          <c:y val="0.15294117647058825"/>
          <c:w val="0.74463519313304716"/>
          <c:h val="0.5411764705882352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1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0000"/>
              </a:solidFill>
              <a:ln w="1269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28BA-4DBA-BB8F-367A0B474827}"/>
              </c:ext>
            </c:extLst>
          </c:dPt>
          <c:dPt>
            <c:idx val="1"/>
            <c:bubble3D val="0"/>
            <c:spPr>
              <a:solidFill>
                <a:srgbClr val="00FF00"/>
              </a:solidFill>
              <a:ln w="1269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28BA-4DBA-BB8F-367A0B474827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 w="1269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28BA-4DBA-BB8F-367A0B474827}"/>
              </c:ext>
            </c:extLst>
          </c:dPt>
          <c:dPt>
            <c:idx val="3"/>
            <c:bubble3D val="0"/>
            <c:spPr>
              <a:solidFill>
                <a:srgbClr val="0000FF"/>
              </a:solidFill>
              <a:ln w="1269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28BA-4DBA-BB8F-367A0B474827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9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28BA-4DBA-BB8F-367A0B474827}"/>
              </c:ext>
            </c:extLst>
          </c:dPt>
          <c:dLbls>
            <c:numFmt formatCode="0%" sourceLinked="0"/>
            <c:spPr>
              <a:noFill/>
              <a:ln w="2538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Централный</c:v>
                </c:pt>
                <c:pt idx="1">
                  <c:v>Индустриальный</c:v>
                </c:pt>
                <c:pt idx="2">
                  <c:v>Ленинский</c:v>
                </c:pt>
                <c:pt idx="3">
                  <c:v>Железнодорожный</c:v>
                </c:pt>
                <c:pt idx="4">
                  <c:v>Октябрьский</c:v>
                </c:pt>
              </c:strCache>
            </c:strRef>
          </c:cat>
          <c:val>
            <c:numRef>
              <c:f>Sheet1!$B$2:$F$2</c:f>
              <c:numCache>
                <c:formatCode>\О\с\н\о\в\н\о\й</c:formatCode>
                <c:ptCount val="5"/>
                <c:pt idx="0">
                  <c:v>1445</c:v>
                </c:pt>
                <c:pt idx="1">
                  <c:v>1320</c:v>
                </c:pt>
                <c:pt idx="2">
                  <c:v>310</c:v>
                </c:pt>
                <c:pt idx="3">
                  <c:v>515</c:v>
                </c:pt>
                <c:pt idx="4">
                  <c:v>240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8BA-4DBA-BB8F-367A0B47482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1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9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28BA-4DBA-BB8F-367A0B474827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7-28BA-4DBA-BB8F-367A0B474827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9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28BA-4DBA-BB8F-367A0B474827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9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28BA-4DBA-BB8F-367A0B474827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9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28BA-4DBA-BB8F-367A0B474827}"/>
              </c:ext>
            </c:extLst>
          </c:dPt>
          <c:dLbls>
            <c:numFmt formatCode="0%" sourceLinked="0"/>
            <c:spPr>
              <a:noFill/>
              <a:ln w="2538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Централный</c:v>
                </c:pt>
                <c:pt idx="1">
                  <c:v>Индустриальный</c:v>
                </c:pt>
                <c:pt idx="2">
                  <c:v>Ленинский</c:v>
                </c:pt>
                <c:pt idx="3">
                  <c:v>Железнодорожный</c:v>
                </c:pt>
                <c:pt idx="4">
                  <c:v>Октябрьский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B-28BA-4DBA-BB8F-367A0B474827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1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9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28BA-4DBA-BB8F-367A0B474827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9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28BA-4DBA-BB8F-367A0B474827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E-28BA-4DBA-BB8F-367A0B474827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9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28BA-4DBA-BB8F-367A0B474827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9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0-28BA-4DBA-BB8F-367A0B474827}"/>
              </c:ext>
            </c:extLst>
          </c:dPt>
          <c:dLbls>
            <c:numFmt formatCode="0%" sourceLinked="0"/>
            <c:spPr>
              <a:noFill/>
              <a:ln w="2538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Централный</c:v>
                </c:pt>
                <c:pt idx="1">
                  <c:v>Индустриальный</c:v>
                </c:pt>
                <c:pt idx="2">
                  <c:v>Ленинский</c:v>
                </c:pt>
                <c:pt idx="3">
                  <c:v>Железнодорожный</c:v>
                </c:pt>
                <c:pt idx="4">
                  <c:v>Октябрьский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11-28BA-4DBA-BB8F-367A0B47482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382">
          <a:noFill/>
        </a:ln>
      </c:spPr>
    </c:plotArea>
    <c:legend>
      <c:legendPos val="b"/>
      <c:layout>
        <c:manualLayout>
          <c:xMode val="edge"/>
          <c:yMode val="edge"/>
          <c:x val="0.14377682403433475"/>
          <c:y val="0.74117647058823533"/>
          <c:w val="0.78969957081545061"/>
          <c:h val="0.22745098039215686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034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6350" cap="flat" cmpd="sng" algn="ctr">
      <a:solidFill>
        <a:srgbClr val="F6F6F6"/>
      </a:solidFill>
      <a:prstDash val="solid"/>
      <a:miter lim="800000"/>
      <a:headEnd type="none" w="med" len="med"/>
      <a:tailEnd type="none" w="med" len="med"/>
      <a:extLst>
        <a:ext uri="{C807C97D-BFC1-408E-A445-0C87EB9F89A2}">
          <ask:lineSketchStyleProps xmlns:ask="http://schemas.microsoft.com/office/drawing/2018/sketchyshapes" sd="0">
            <a:custGeom>
              <a:avLst/>
              <a:gdLst/>
              <a:ahLst/>
              <a:cxnLst/>
              <a:rect l="0" t="0" r="0" b="0"/>
              <a:pathLst/>
            </a:custGeom>
            <ask:type/>
          </ask:lineSketchStyleProps>
        </a:ext>
      </a:extLst>
    </a:ln>
  </c:spPr>
  <c:txPr>
    <a:bodyPr/>
    <a:lstStyle/>
    <a:p>
      <a:pPr>
        <a:defRPr sz="112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79FE1-1C27-4E3E-A819-F9BC0781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9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Женя</cp:lastModifiedBy>
  <cp:revision>22</cp:revision>
  <dcterms:created xsi:type="dcterms:W3CDTF">2021-11-16T15:29:00Z</dcterms:created>
  <dcterms:modified xsi:type="dcterms:W3CDTF">2022-02-25T14:56:00Z</dcterms:modified>
</cp:coreProperties>
</file>