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26" w:rsidRDefault="00A33826" w:rsidP="00A338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20EE9">
        <w:rPr>
          <w:color w:val="000000"/>
          <w:sz w:val="28"/>
          <w:szCs w:val="28"/>
        </w:rPr>
        <w:t>Количественный</w:t>
      </w:r>
      <w:r>
        <w:rPr>
          <w:color w:val="000000"/>
          <w:sz w:val="28"/>
          <w:szCs w:val="28"/>
        </w:rPr>
        <w:t xml:space="preserve"> </w:t>
      </w:r>
      <w:r w:rsidRPr="00720E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20EE9">
        <w:rPr>
          <w:color w:val="000000"/>
          <w:sz w:val="28"/>
          <w:szCs w:val="28"/>
        </w:rPr>
        <w:t>качественный</w:t>
      </w:r>
      <w:r>
        <w:rPr>
          <w:color w:val="000000"/>
          <w:sz w:val="28"/>
          <w:szCs w:val="28"/>
        </w:rPr>
        <w:t xml:space="preserve"> </w:t>
      </w:r>
      <w:r w:rsidRPr="00720EE9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720EE9">
        <w:rPr>
          <w:color w:val="000000"/>
          <w:sz w:val="28"/>
          <w:szCs w:val="28"/>
        </w:rPr>
        <w:t>трудовых</w:t>
      </w:r>
      <w:r>
        <w:rPr>
          <w:color w:val="000000"/>
          <w:sz w:val="28"/>
          <w:szCs w:val="28"/>
        </w:rPr>
        <w:t xml:space="preserve"> </w:t>
      </w:r>
      <w:r w:rsidRPr="00720EE9">
        <w:rPr>
          <w:color w:val="000000"/>
          <w:sz w:val="28"/>
          <w:szCs w:val="28"/>
        </w:rPr>
        <w:t>ресурсов</w:t>
      </w:r>
      <w:r>
        <w:rPr>
          <w:color w:val="000000"/>
          <w:sz w:val="28"/>
          <w:szCs w:val="28"/>
        </w:rPr>
        <w:t xml:space="preserve"> РФ</w:t>
      </w:r>
    </w:p>
    <w:p w:rsidR="00A33826" w:rsidRDefault="00A33826" w:rsidP="006B64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Гуманитарный факультет/кафедра «Экономика и финансы», Пермский национально исследовательский политехнический университет, Пермь, Россия</w:t>
      </w:r>
    </w:p>
    <w:p w:rsidR="00A33826" w:rsidRDefault="00A33826" w:rsidP="006B64B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A33826" w:rsidRPr="003E57A7" w:rsidRDefault="00A33826" w:rsidP="006B64B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3E57A7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тенденций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изменениях</w:t>
      </w:r>
      <w:r>
        <w:rPr>
          <w:color w:val="000000"/>
          <w:sz w:val="28"/>
          <w:szCs w:val="28"/>
        </w:rPr>
        <w:t xml:space="preserve"> трудовых ресурсов </w:t>
      </w:r>
      <w:r w:rsidRPr="003E57A7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позволяет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судить,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насколько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эффективна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социально-экономическая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политика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государства.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Достоверные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показатели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статистического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занятости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необходимы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адекватной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общества,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разработки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социальных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программ,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корректировки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социальной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государства.</w:t>
      </w:r>
    </w:p>
    <w:p w:rsidR="00A33826" w:rsidRPr="003E57A7" w:rsidRDefault="00A33826" w:rsidP="00A338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E57A7">
        <w:rPr>
          <w:color w:val="000000"/>
          <w:sz w:val="28"/>
          <w:szCs w:val="28"/>
        </w:rPr>
        <w:t>Придавая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большое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проблемам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занятости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населения,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Федеральная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служба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статистики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регулярные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выборочные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обследования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занятости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населения,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обеспечивая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репрезентативные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численности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структуре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экономически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активного,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занятого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по полу, возрасту и образованию – </w:t>
      </w:r>
      <w:r w:rsidRPr="003E57A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важнейшим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социально-демографическим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признакам.</w:t>
      </w:r>
    </w:p>
    <w:bookmarkEnd w:id="0"/>
    <w:p w:rsidR="00A33826" w:rsidRPr="00A33826" w:rsidRDefault="00A33826" w:rsidP="00A3382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D462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рабочей силы, возраст, график, мужчины, женщины, трудовые ресурсы.</w:t>
      </w:r>
      <w:proofErr w:type="gramEnd"/>
    </w:p>
    <w:p w:rsidR="00A33826" w:rsidRDefault="00A33826" w:rsidP="00A338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52875" w:rsidRDefault="00752875" w:rsidP="00752875">
      <w:pPr>
        <w:pStyle w:val="a3"/>
        <w:spacing w:before="168" w:beforeAutospacing="0" w:after="168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E57A7">
        <w:rPr>
          <w:color w:val="000000"/>
          <w:sz w:val="28"/>
          <w:szCs w:val="28"/>
        </w:rPr>
        <w:lastRenderedPageBreak/>
        <w:t>По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материалам,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разрабатываемым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выборочных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обследований,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имеется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проследить</w:t>
      </w:r>
      <w:r>
        <w:rPr>
          <w:color w:val="000000"/>
          <w:sz w:val="28"/>
          <w:szCs w:val="28"/>
        </w:rPr>
        <w:t xml:space="preserve"> особенности занятости населения. </w:t>
      </w:r>
      <w:r w:rsidRPr="003E57A7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экономической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социально-демографической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структуры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занятых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дает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выявить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набор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факторов,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оказывающих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влияние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показателей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занятости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населения,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позволяет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осуществлять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информационное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методическое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управленческих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3E57A7">
        <w:rPr>
          <w:color w:val="000000"/>
          <w:sz w:val="28"/>
          <w:szCs w:val="28"/>
        </w:rPr>
        <w:t>занятости.</w:t>
      </w:r>
      <w:r>
        <w:rPr>
          <w:color w:val="000000"/>
          <w:sz w:val="28"/>
          <w:szCs w:val="28"/>
        </w:rPr>
        <w:t xml:space="preserve"> </w:t>
      </w:r>
    </w:p>
    <w:p w:rsidR="00D94E01" w:rsidRDefault="00752875" w:rsidP="00752875">
      <w:pPr>
        <w:pStyle w:val="a3"/>
        <w:spacing w:before="168" w:after="168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Проанализируем ч</w:t>
      </w:r>
      <w:r w:rsidRPr="00752875">
        <w:rPr>
          <w:color w:val="000000"/>
          <w:sz w:val="28"/>
          <w:szCs w:val="28"/>
        </w:rPr>
        <w:t xml:space="preserve">исленность рабочей силы в возрасте 15 лет и старше </w:t>
      </w:r>
      <w:r w:rsidR="00191A8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Российской Федерации </w:t>
      </w:r>
      <w:r w:rsidRPr="00752875">
        <w:rPr>
          <w:color w:val="000000"/>
          <w:sz w:val="28"/>
          <w:szCs w:val="28"/>
        </w:rPr>
        <w:t>(по данным выборочных обследований рабочей силы)</w:t>
      </w:r>
      <w:r>
        <w:rPr>
          <w:color w:val="000000"/>
          <w:sz w:val="28"/>
          <w:szCs w:val="28"/>
        </w:rPr>
        <w:t xml:space="preserve"> за 2017-2019 годы. Ниже</w:t>
      </w:r>
      <w:r w:rsidR="003C65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таблице 1</w:t>
      </w:r>
      <w:r w:rsidR="003C65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представлены исходные данные с сайта Федеральной службы государственной статистики.</w:t>
      </w:r>
    </w:p>
    <w:p w:rsidR="00752875" w:rsidRDefault="00752875" w:rsidP="00752875">
      <w:pPr>
        <w:pStyle w:val="a3"/>
        <w:spacing w:before="168" w:after="168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 – </w:t>
      </w:r>
      <w:r w:rsidRPr="00752875">
        <w:rPr>
          <w:color w:val="000000"/>
          <w:sz w:val="28"/>
          <w:szCs w:val="28"/>
        </w:rPr>
        <w:t xml:space="preserve">Численность </w:t>
      </w:r>
      <w:r w:rsidR="003C6519">
        <w:rPr>
          <w:color w:val="000000"/>
          <w:sz w:val="28"/>
          <w:szCs w:val="28"/>
        </w:rPr>
        <w:t>рабочей силы в возрасте 15 лет</w:t>
      </w:r>
      <w:r w:rsidRPr="00752875">
        <w:rPr>
          <w:color w:val="000000"/>
          <w:sz w:val="28"/>
          <w:szCs w:val="28"/>
        </w:rPr>
        <w:t xml:space="preserve"> </w:t>
      </w:r>
      <w:r w:rsidR="00191A8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Российской Федерации</w:t>
      </w:r>
      <w:r w:rsidR="00FE00A7">
        <w:rPr>
          <w:color w:val="000000"/>
          <w:sz w:val="28"/>
          <w:szCs w:val="28"/>
        </w:rPr>
        <w:t xml:space="preserve"> (тыс. чел).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1950"/>
      </w:tblGrid>
      <w:tr w:rsidR="00752875" w:rsidTr="005E72DE">
        <w:trPr>
          <w:jc w:val="center"/>
        </w:trPr>
        <w:tc>
          <w:tcPr>
            <w:tcW w:w="2943" w:type="dxa"/>
          </w:tcPr>
          <w:p w:rsidR="00752875" w:rsidRDefault="00752875" w:rsidP="00752875">
            <w:pPr>
              <w:pStyle w:val="a3"/>
              <w:spacing w:before="168" w:after="168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752875" w:rsidRDefault="00752875" w:rsidP="00752875">
            <w:pPr>
              <w:pStyle w:val="a3"/>
              <w:spacing w:before="168" w:after="168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752875" w:rsidRDefault="00752875" w:rsidP="00752875">
            <w:pPr>
              <w:pStyle w:val="a3"/>
              <w:spacing w:before="168" w:after="168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50" w:type="dxa"/>
          </w:tcPr>
          <w:p w:rsidR="00752875" w:rsidRDefault="00752875" w:rsidP="00752875">
            <w:pPr>
              <w:pStyle w:val="a3"/>
              <w:spacing w:before="168" w:after="168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752875" w:rsidTr="005E72DE">
        <w:trPr>
          <w:jc w:val="center"/>
        </w:trPr>
        <w:tc>
          <w:tcPr>
            <w:tcW w:w="2943" w:type="dxa"/>
          </w:tcPr>
          <w:p w:rsidR="00752875" w:rsidRDefault="00752875" w:rsidP="00191A84">
            <w:pPr>
              <w:pStyle w:val="a3"/>
              <w:spacing w:before="168" w:after="168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752875">
              <w:rPr>
                <w:color w:val="000000"/>
                <w:sz w:val="28"/>
                <w:szCs w:val="28"/>
              </w:rPr>
              <w:t xml:space="preserve">Численность рабочей силы в возрасте 15 лет и старше </w:t>
            </w:r>
            <w:r w:rsidR="00191A8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2268" w:type="dxa"/>
          </w:tcPr>
          <w:p w:rsidR="00752875" w:rsidRDefault="00752875" w:rsidP="00752875">
            <w:pPr>
              <w:pStyle w:val="a3"/>
              <w:spacing w:before="168" w:after="168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76285,</w:t>
            </w:r>
            <w:r w:rsidRPr="007528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2875" w:rsidRDefault="00752875" w:rsidP="00752875">
            <w:pPr>
              <w:pStyle w:val="a3"/>
              <w:spacing w:before="168" w:after="168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76190,1</w:t>
            </w:r>
          </w:p>
        </w:tc>
        <w:tc>
          <w:tcPr>
            <w:tcW w:w="1950" w:type="dxa"/>
          </w:tcPr>
          <w:p w:rsidR="00752875" w:rsidRDefault="00752875" w:rsidP="00752875">
            <w:pPr>
              <w:pStyle w:val="a3"/>
              <w:spacing w:before="168" w:after="168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75397,</w:t>
            </w:r>
            <w:r w:rsidRPr="00752875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752875" w:rsidRDefault="00752875" w:rsidP="00752875">
      <w:pPr>
        <w:pStyle w:val="a3"/>
        <w:spacing w:before="168" w:after="168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051544"/>
            <wp:effectExtent l="0" t="0" r="1905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51B6" w:rsidRDefault="003951B6" w:rsidP="00A33826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 – </w:t>
      </w:r>
      <w:r w:rsidRPr="00752875">
        <w:rPr>
          <w:color w:val="000000"/>
          <w:sz w:val="28"/>
          <w:szCs w:val="28"/>
        </w:rPr>
        <w:t>Численность рабочей силы в возрасте 15 лет и старше</w:t>
      </w:r>
      <w:r w:rsidR="00191A8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РФ </w:t>
      </w:r>
      <w:r w:rsidR="00FE00A7">
        <w:rPr>
          <w:color w:val="000000"/>
          <w:sz w:val="28"/>
          <w:szCs w:val="28"/>
        </w:rPr>
        <w:t>за 2017-2019 годы (тыс. чел)</w:t>
      </w:r>
    </w:p>
    <w:p w:rsidR="00191A84" w:rsidRDefault="00191A84" w:rsidP="00FE00A7">
      <w:pPr>
        <w:pStyle w:val="a3"/>
        <w:spacing w:before="168" w:after="168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рисунке 1 видно, что ч</w:t>
      </w:r>
      <w:r w:rsidRPr="00752875">
        <w:rPr>
          <w:color w:val="000000"/>
          <w:sz w:val="28"/>
          <w:szCs w:val="28"/>
        </w:rPr>
        <w:t>исленность рабочей сил</w:t>
      </w:r>
      <w:r>
        <w:rPr>
          <w:color w:val="000000"/>
          <w:sz w:val="28"/>
          <w:szCs w:val="28"/>
        </w:rPr>
        <w:t xml:space="preserve">ы в возрасте 15 лет и старше в РФ </w:t>
      </w:r>
      <w:r w:rsidR="003C6519">
        <w:rPr>
          <w:color w:val="000000"/>
          <w:sz w:val="28"/>
          <w:szCs w:val="28"/>
        </w:rPr>
        <w:t xml:space="preserve">постепенно </w:t>
      </w:r>
      <w:r>
        <w:rPr>
          <w:color w:val="000000"/>
          <w:sz w:val="28"/>
          <w:szCs w:val="28"/>
        </w:rPr>
        <w:t xml:space="preserve">снижалась с 2017 по 2018 гг., а с 2018 по 2019 гг. </w:t>
      </w:r>
      <w:r w:rsidR="00FE00A7">
        <w:rPr>
          <w:color w:val="000000"/>
          <w:sz w:val="28"/>
          <w:szCs w:val="28"/>
        </w:rPr>
        <w:t>значительно уменьшилось на 792,2 тыс. чел.</w:t>
      </w:r>
    </w:p>
    <w:p w:rsidR="00FE00A7" w:rsidRDefault="00FE00A7" w:rsidP="003C6519">
      <w:pPr>
        <w:pStyle w:val="a3"/>
        <w:spacing w:before="168" w:after="168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занятость населения по </w:t>
      </w:r>
      <w:r w:rsidR="00712006">
        <w:rPr>
          <w:color w:val="000000"/>
          <w:sz w:val="28"/>
          <w:szCs w:val="28"/>
        </w:rPr>
        <w:t>возрастной структуре.</w:t>
      </w:r>
    </w:p>
    <w:p w:rsidR="00380A0B" w:rsidRDefault="00380A0B" w:rsidP="00380A0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– </w:t>
      </w:r>
      <w:r w:rsidRPr="00380A0B">
        <w:rPr>
          <w:color w:val="000000"/>
          <w:sz w:val="28"/>
        </w:rPr>
        <w:t>Все население</w:t>
      </w:r>
      <w:r>
        <w:rPr>
          <w:color w:val="000000"/>
          <w:sz w:val="28"/>
        </w:rPr>
        <w:t>,</w:t>
      </w:r>
      <w:r w:rsidRPr="00380A0B">
        <w:rPr>
          <w:color w:val="000000"/>
          <w:sz w:val="28"/>
        </w:rPr>
        <w:t xml:space="preserve"> в том</w:t>
      </w:r>
      <w:r>
        <w:rPr>
          <w:color w:val="000000"/>
          <w:sz w:val="28"/>
        </w:rPr>
        <w:t xml:space="preserve"> числе в возрасте моложе 15 лет, тыс. чел.</w:t>
      </w:r>
    </w:p>
    <w:tbl>
      <w:tblPr>
        <w:tblW w:w="752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276"/>
        <w:gridCol w:w="1984"/>
      </w:tblGrid>
      <w:tr w:rsidR="00380A0B" w:rsidRPr="00380A0B" w:rsidTr="005E72DE">
        <w:trPr>
          <w:trHeight w:val="199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Лет/возраст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2018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–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6947,3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 –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7827,7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7114,1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 –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11878,4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11119,8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10222,1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–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12765,6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12717,6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–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11424,8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11735,4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–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10453,5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10594,2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 –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9499,6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9674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 –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9020,5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 –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11049,3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10810,7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 –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20722,3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21740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10262,3</w:t>
            </w:r>
          </w:p>
        </w:tc>
      </w:tr>
    </w:tbl>
    <w:p w:rsidR="00380A0B" w:rsidRDefault="00380A0B" w:rsidP="005E72DE">
      <w:pPr>
        <w:pStyle w:val="a3"/>
        <w:spacing w:before="168" w:after="168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6D58559" wp14:editId="3131764E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0A0B" w:rsidRDefault="00380A0B" w:rsidP="005E72D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Рисунок 2 – </w:t>
      </w:r>
      <w:r w:rsidRPr="00380A0B">
        <w:rPr>
          <w:color w:val="000000"/>
          <w:sz w:val="28"/>
        </w:rPr>
        <w:t>Все население</w:t>
      </w:r>
      <w:r>
        <w:rPr>
          <w:color w:val="000000"/>
          <w:sz w:val="28"/>
        </w:rPr>
        <w:t>,</w:t>
      </w:r>
      <w:r w:rsidRPr="00380A0B">
        <w:rPr>
          <w:color w:val="000000"/>
          <w:sz w:val="28"/>
        </w:rPr>
        <w:t xml:space="preserve"> в том</w:t>
      </w:r>
      <w:r>
        <w:rPr>
          <w:color w:val="000000"/>
          <w:sz w:val="28"/>
        </w:rPr>
        <w:t xml:space="preserve"> числе в возрасте моложе 15 лет за 2016-2018 гг., тыс. чел.</w:t>
      </w:r>
    </w:p>
    <w:p w:rsidR="003C6519" w:rsidRDefault="003C6519" w:rsidP="00380A0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Рисунок 2 показывает, что наиболее занятое население прибывает в возрасте 60-72 лет на протяжении трех лет, с 2016 по 2018 годы</w:t>
      </w:r>
      <w:r w:rsidR="000D4A98">
        <w:rPr>
          <w:color w:val="000000"/>
          <w:sz w:val="28"/>
        </w:rPr>
        <w:t>. При этом</w:t>
      </w:r>
      <w:proofErr w:type="gramStart"/>
      <w:r w:rsidR="000D4A98">
        <w:rPr>
          <w:color w:val="000000"/>
          <w:sz w:val="28"/>
        </w:rPr>
        <w:t>,</w:t>
      </w:r>
      <w:proofErr w:type="gramEnd"/>
      <w:r w:rsidR="000D4A98">
        <w:rPr>
          <w:color w:val="000000"/>
          <w:sz w:val="28"/>
        </w:rPr>
        <w:t xml:space="preserve"> количество занятых в этом возрасте каждый год постепенно растет. Население в возрасте от 15 до 19 лет составляет наименьшую долю занятых, это связанно с тем, что в данном возрасте население ещё учиться, а не работает. Середину составляет население в возрасте от 30 до 34 лет. Молодежь, в возрасте от 20 до 29 лет с каждым годом становиться менее занятым.</w:t>
      </w:r>
    </w:p>
    <w:p w:rsidR="00380A0B" w:rsidRDefault="00380A0B" w:rsidP="00380A0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3 – </w:t>
      </w:r>
      <w:r>
        <w:rPr>
          <w:color w:val="000000"/>
          <w:sz w:val="28"/>
        </w:rPr>
        <w:t>Мужчины</w:t>
      </w:r>
      <w:r w:rsidR="000D4A98">
        <w:rPr>
          <w:color w:val="000000"/>
          <w:sz w:val="28"/>
        </w:rPr>
        <w:t xml:space="preserve">, </w:t>
      </w:r>
      <w:r w:rsidR="000D4A98" w:rsidRPr="00380A0B">
        <w:rPr>
          <w:color w:val="000000"/>
          <w:sz w:val="28"/>
        </w:rPr>
        <w:t>в том</w:t>
      </w:r>
      <w:r w:rsidR="000D4A98">
        <w:rPr>
          <w:color w:val="000000"/>
          <w:sz w:val="28"/>
        </w:rPr>
        <w:t xml:space="preserve"> числе</w:t>
      </w:r>
      <w:r>
        <w:rPr>
          <w:color w:val="000000"/>
          <w:sz w:val="28"/>
        </w:rPr>
        <w:t xml:space="preserve"> в возрасте моложе 15 лет, тыс. чел.</w:t>
      </w:r>
    </w:p>
    <w:tbl>
      <w:tblPr>
        <w:tblW w:w="5827" w:type="dxa"/>
        <w:jc w:val="center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1559"/>
      </w:tblGrid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Лет/возраст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2018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–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3552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 –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3627,1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 –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5214,1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–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6385,2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–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5806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–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5110,2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 –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4626,6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 –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4192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 –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4824,1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 –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8587,2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2857,7</w:t>
            </w:r>
          </w:p>
        </w:tc>
      </w:tr>
    </w:tbl>
    <w:p w:rsidR="00380A0B" w:rsidRDefault="00380A0B" w:rsidP="005E72DE">
      <w:pPr>
        <w:pStyle w:val="a3"/>
        <w:spacing w:before="168" w:after="168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CA65F83" wp14:editId="3C48AFA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0A0B" w:rsidRDefault="00380A0B" w:rsidP="005E72D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Рисунок 3 –  </w:t>
      </w:r>
      <w:r w:rsidR="000D4A98">
        <w:rPr>
          <w:color w:val="000000"/>
          <w:sz w:val="28"/>
        </w:rPr>
        <w:t>Мужчины,</w:t>
      </w:r>
      <w:r w:rsidR="000D4A98" w:rsidRPr="00380A0B">
        <w:rPr>
          <w:color w:val="000000"/>
          <w:sz w:val="28"/>
        </w:rPr>
        <w:t xml:space="preserve"> в том</w:t>
      </w:r>
      <w:r w:rsidR="000D4A98">
        <w:rPr>
          <w:color w:val="000000"/>
          <w:sz w:val="28"/>
        </w:rPr>
        <w:t xml:space="preserve"> числе </w:t>
      </w:r>
      <w:r>
        <w:rPr>
          <w:color w:val="000000"/>
          <w:sz w:val="28"/>
        </w:rPr>
        <w:t>в возрасте моложе 15 лет за 2016-2018 гг., тыс. чел.</w:t>
      </w:r>
    </w:p>
    <w:p w:rsidR="000D4A98" w:rsidRDefault="000D4A98" w:rsidP="00380A0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На рисунке 3 видно, что в течение трех лет, с 2016 по 2018 гг., количество занятых мужчин,</w:t>
      </w:r>
      <w:r w:rsidRPr="00380A0B">
        <w:rPr>
          <w:color w:val="000000"/>
          <w:sz w:val="28"/>
        </w:rPr>
        <w:t xml:space="preserve"> в том</w:t>
      </w:r>
      <w:r>
        <w:rPr>
          <w:color w:val="000000"/>
          <w:sz w:val="28"/>
        </w:rPr>
        <w:t xml:space="preserve"> числе в возрасте моложе 15 лет, наиболее заняты в возрасте 60-72 лет, этот показатель растет. Мужчины, в возрасте 20-29,50-59, 73 и старше</w:t>
      </w:r>
      <w:r w:rsidR="00E83BB5">
        <w:rPr>
          <w:color w:val="000000"/>
          <w:sz w:val="28"/>
        </w:rPr>
        <w:t xml:space="preserve"> с каждым годом становятся менее занятыми. </w:t>
      </w:r>
    </w:p>
    <w:p w:rsidR="00380A0B" w:rsidRDefault="00380A0B" w:rsidP="00FE00A7">
      <w:pPr>
        <w:pStyle w:val="a3"/>
        <w:spacing w:before="168" w:after="168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4 – </w:t>
      </w:r>
      <w:r w:rsidR="000D4A98">
        <w:rPr>
          <w:color w:val="000000"/>
          <w:sz w:val="28"/>
        </w:rPr>
        <w:t>Женщины,</w:t>
      </w:r>
      <w:r w:rsidR="000D4A98" w:rsidRPr="00380A0B">
        <w:rPr>
          <w:color w:val="000000"/>
          <w:sz w:val="28"/>
        </w:rPr>
        <w:t xml:space="preserve"> в том</w:t>
      </w:r>
      <w:r w:rsidR="000D4A98">
        <w:rPr>
          <w:color w:val="000000"/>
          <w:sz w:val="28"/>
        </w:rPr>
        <w:t xml:space="preserve"> числе </w:t>
      </w:r>
      <w:r>
        <w:rPr>
          <w:color w:val="000000"/>
          <w:sz w:val="28"/>
        </w:rPr>
        <w:t>в возрасте моложе 15 лет, тыс. чел.</w:t>
      </w:r>
    </w:p>
    <w:tbl>
      <w:tblPr>
        <w:tblW w:w="5969" w:type="dxa"/>
        <w:jc w:val="center"/>
        <w:tblInd w:w="93" w:type="dxa"/>
        <w:tblLook w:val="04A0" w:firstRow="1" w:lastRow="0" w:firstColumn="1" w:lastColumn="0" w:noHBand="0" w:noVBand="1"/>
      </w:tblPr>
      <w:tblGrid>
        <w:gridCol w:w="1625"/>
        <w:gridCol w:w="1275"/>
        <w:gridCol w:w="1701"/>
        <w:gridCol w:w="1418"/>
      </w:tblGrid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Лет/возраст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2018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–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3395,3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 –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3487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 –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5008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–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6332,4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–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5929,4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–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5484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 –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5047,4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 –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4828,5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 – 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5986,6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 –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11823,4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13152,8</w:t>
            </w:r>
          </w:p>
        </w:tc>
      </w:tr>
      <w:tr w:rsidR="00380A0B" w:rsidRPr="00380A0B" w:rsidTr="005E72DE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 и более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7873,2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0B" w:rsidRPr="00380A0B" w:rsidRDefault="00380A0B" w:rsidP="0038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80A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7404,6</w:t>
            </w:r>
          </w:p>
        </w:tc>
      </w:tr>
    </w:tbl>
    <w:p w:rsidR="00380A0B" w:rsidRDefault="00380A0B" w:rsidP="005E72DE">
      <w:pPr>
        <w:pStyle w:val="a3"/>
        <w:spacing w:before="168" w:after="168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5818013" wp14:editId="3C57DB2E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0A0B" w:rsidRDefault="00380A0B" w:rsidP="005E72D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4  – </w:t>
      </w:r>
      <w:r w:rsidR="00E83BB5">
        <w:rPr>
          <w:color w:val="000000"/>
          <w:sz w:val="28"/>
        </w:rPr>
        <w:t>Женщины</w:t>
      </w:r>
      <w:r w:rsidR="000D4A98">
        <w:rPr>
          <w:color w:val="000000"/>
          <w:sz w:val="28"/>
        </w:rPr>
        <w:t>,</w:t>
      </w:r>
      <w:r w:rsidR="000D4A98" w:rsidRPr="00380A0B">
        <w:rPr>
          <w:color w:val="000000"/>
          <w:sz w:val="28"/>
        </w:rPr>
        <w:t xml:space="preserve"> в том</w:t>
      </w:r>
      <w:r w:rsidR="000D4A98">
        <w:rPr>
          <w:color w:val="000000"/>
          <w:sz w:val="28"/>
        </w:rPr>
        <w:t xml:space="preserve"> числе </w:t>
      </w:r>
      <w:r>
        <w:rPr>
          <w:color w:val="000000"/>
          <w:sz w:val="28"/>
        </w:rPr>
        <w:t>в возрасте моложе 15 лет за 2016-2018 гг., тыс. чел.</w:t>
      </w:r>
    </w:p>
    <w:p w:rsidR="00380A0B" w:rsidRDefault="00E83BB5" w:rsidP="00FE00A7">
      <w:pPr>
        <w:pStyle w:val="a3"/>
        <w:spacing w:before="168" w:after="168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4 свидетельствует о том, что у женщин занятость прибывает на пике в возрасте 60-72 лет также как и у мужчин.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 2018 году число таких женщин равно 13152,8, а мужчин 8587,2. Это говорит о том, что женщин  на  4565,6 тыс. чел. больше.</w:t>
      </w:r>
    </w:p>
    <w:p w:rsidR="006645C7" w:rsidRPr="00752875" w:rsidRDefault="006645C7" w:rsidP="00FE00A7">
      <w:pPr>
        <w:pStyle w:val="a3"/>
        <w:spacing w:before="168" w:after="168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 </w:t>
      </w:r>
      <w:r w:rsidRPr="00720EE9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720EE9">
        <w:rPr>
          <w:color w:val="000000"/>
          <w:sz w:val="28"/>
          <w:szCs w:val="28"/>
        </w:rPr>
        <w:t>трудовых</w:t>
      </w:r>
      <w:r>
        <w:rPr>
          <w:color w:val="000000"/>
          <w:sz w:val="28"/>
          <w:szCs w:val="28"/>
        </w:rPr>
        <w:t xml:space="preserve"> </w:t>
      </w:r>
      <w:r w:rsidRPr="00720EE9">
        <w:rPr>
          <w:color w:val="000000"/>
          <w:sz w:val="28"/>
          <w:szCs w:val="28"/>
        </w:rPr>
        <w:t>ресурсов</w:t>
      </w:r>
      <w:r>
        <w:rPr>
          <w:color w:val="000000"/>
          <w:sz w:val="28"/>
          <w:szCs w:val="28"/>
        </w:rPr>
        <w:t xml:space="preserve"> РФ показал, что в пенсионном возрасте наиболее высокий уровень занятого населения, как мужчин, так и женщин. Женщин трудиться каждый год больше, чем мужчин. Молодое поколение с каждым годом всё меньше готово трудиться, это касается и </w:t>
      </w:r>
      <w:r w:rsidR="005C332A">
        <w:rPr>
          <w:color w:val="000000"/>
          <w:sz w:val="28"/>
          <w:szCs w:val="28"/>
        </w:rPr>
        <w:t xml:space="preserve">категории </w:t>
      </w:r>
      <w:r>
        <w:rPr>
          <w:color w:val="000000"/>
          <w:sz w:val="28"/>
          <w:szCs w:val="28"/>
        </w:rPr>
        <w:t>50-59 лет.</w:t>
      </w:r>
    </w:p>
    <w:sectPr w:rsidR="006645C7" w:rsidRPr="0075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D"/>
    <w:rsid w:val="000D4A98"/>
    <w:rsid w:val="00191A84"/>
    <w:rsid w:val="00380A0B"/>
    <w:rsid w:val="003951B6"/>
    <w:rsid w:val="003C6519"/>
    <w:rsid w:val="005C332A"/>
    <w:rsid w:val="005E72DE"/>
    <w:rsid w:val="006645C7"/>
    <w:rsid w:val="006B64B4"/>
    <w:rsid w:val="00712006"/>
    <w:rsid w:val="00752875"/>
    <w:rsid w:val="009A04EE"/>
    <w:rsid w:val="00A33826"/>
    <w:rsid w:val="00CE1206"/>
    <w:rsid w:val="00D94E01"/>
    <w:rsid w:val="00DF0CDF"/>
    <w:rsid w:val="00E83BB5"/>
    <w:rsid w:val="00FE00A7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101;&#1082;&#1086;&#1085;&#1086;&#1084;%20&#1090;&#1088;&#1091;&#1076;&#1072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101;&#1082;&#1086;&#1085;&#1086;&#1084;%20&#1090;&#1088;&#1091;&#1076;&#1072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101;&#1082;&#1086;&#1085;&#1086;&#1084;%20&#1090;&#1088;&#1091;&#1076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рабочей силы в возрасте 15 лет и старше по субъектам РФ</c:v>
                </c:pt>
              </c:strCache>
            </c:strRef>
          </c:tx>
          <c:dLbls>
            <c:dLbl>
              <c:idx val="0"/>
              <c:layout>
                <c:manualLayout>
                  <c:x val="-9.2592592592592587E-3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76285.399999999994</c:v>
                </c:pt>
                <c:pt idx="1">
                  <c:v>76190.100000000006</c:v>
                </c:pt>
                <c:pt idx="2">
                  <c:v>75397.899999999994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621952"/>
        <c:axId val="127670464"/>
      </c:lineChart>
      <c:catAx>
        <c:axId val="14662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670464"/>
        <c:crosses val="autoZero"/>
        <c:auto val="1"/>
        <c:lblAlgn val="ctr"/>
        <c:lblOffset val="100"/>
        <c:noMultiLvlLbl val="0"/>
      </c:catAx>
      <c:valAx>
        <c:axId val="127670464"/>
        <c:scaling>
          <c:orientation val="minMax"/>
          <c:min val="753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21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Лист1!$C$7:$C$17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Лист1!$D$7:$D$17</c:f>
              <c:numCache>
                <c:formatCode>General</c:formatCode>
                <c:ptCount val="11"/>
                <c:pt idx="0">
                  <c:v>6690</c:v>
                </c:pt>
                <c:pt idx="1">
                  <c:v>7827.7</c:v>
                </c:pt>
                <c:pt idx="2">
                  <c:v>11878.4</c:v>
                </c:pt>
                <c:pt idx="3">
                  <c:v>12537.4</c:v>
                </c:pt>
                <c:pt idx="4">
                  <c:v>11194.5</c:v>
                </c:pt>
                <c:pt idx="5">
                  <c:v>10381.1</c:v>
                </c:pt>
                <c:pt idx="6">
                  <c:v>9279.5</c:v>
                </c:pt>
                <c:pt idx="7">
                  <c:v>9834.9</c:v>
                </c:pt>
                <c:pt idx="8">
                  <c:v>11155.1</c:v>
                </c:pt>
                <c:pt idx="9">
                  <c:v>19559.400000000001</c:v>
                </c:pt>
                <c:pt idx="10">
                  <c:v>10917.7</c:v>
                </c:pt>
              </c:numCache>
            </c:numRef>
          </c:val>
        </c:ser>
        <c:ser>
          <c:idx val="1"/>
          <c:order val="1"/>
          <c:tx>
            <c:strRef>
              <c:f>Лист1!$E$6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Лист1!$C$7:$C$17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Лист1!$E$7:$E$17</c:f>
              <c:numCache>
                <c:formatCode>General</c:formatCode>
                <c:ptCount val="11"/>
                <c:pt idx="0">
                  <c:v>6815.9</c:v>
                </c:pt>
                <c:pt idx="1">
                  <c:v>7335.8</c:v>
                </c:pt>
                <c:pt idx="2">
                  <c:v>11119.8</c:v>
                </c:pt>
                <c:pt idx="3">
                  <c:v>12765.6</c:v>
                </c:pt>
                <c:pt idx="4">
                  <c:v>11424.8</c:v>
                </c:pt>
                <c:pt idx="5">
                  <c:v>10453.5</c:v>
                </c:pt>
                <c:pt idx="6">
                  <c:v>9499.6</c:v>
                </c:pt>
                <c:pt idx="7">
                  <c:v>9372.2999999999993</c:v>
                </c:pt>
                <c:pt idx="8">
                  <c:v>11049.3</c:v>
                </c:pt>
                <c:pt idx="9">
                  <c:v>20722.3</c:v>
                </c:pt>
                <c:pt idx="10">
                  <c:v>10504</c:v>
                </c:pt>
              </c:numCache>
            </c:numRef>
          </c:val>
        </c:ser>
        <c:ser>
          <c:idx val="2"/>
          <c:order val="2"/>
          <c:tx>
            <c:strRef>
              <c:f>Лист1!$F$6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Лист1!$C$7:$C$17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Лист1!$F$7:$F$17</c:f>
              <c:numCache>
                <c:formatCode>General</c:formatCode>
                <c:ptCount val="11"/>
                <c:pt idx="0">
                  <c:v>6947.3</c:v>
                </c:pt>
                <c:pt idx="1">
                  <c:v>7114.1</c:v>
                </c:pt>
                <c:pt idx="2">
                  <c:v>10222.1</c:v>
                </c:pt>
                <c:pt idx="3">
                  <c:v>12717.6</c:v>
                </c:pt>
                <c:pt idx="4">
                  <c:v>11735.4</c:v>
                </c:pt>
                <c:pt idx="5">
                  <c:v>10594.2</c:v>
                </c:pt>
                <c:pt idx="6">
                  <c:v>9674</c:v>
                </c:pt>
                <c:pt idx="7">
                  <c:v>9020.5</c:v>
                </c:pt>
                <c:pt idx="8">
                  <c:v>10810.7</c:v>
                </c:pt>
                <c:pt idx="9">
                  <c:v>21740</c:v>
                </c:pt>
                <c:pt idx="10">
                  <c:v>10262.299999999999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87520"/>
        <c:axId val="37782656"/>
      </c:barChart>
      <c:catAx>
        <c:axId val="16138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7782656"/>
        <c:crosses val="autoZero"/>
        <c:auto val="1"/>
        <c:lblAlgn val="ctr"/>
        <c:lblOffset val="100"/>
        <c:noMultiLvlLbl val="0"/>
      </c:catAx>
      <c:valAx>
        <c:axId val="3778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38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Лист1!$C$21:$C$31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Лист1!$D$21:$D$31</c:f>
              <c:numCache>
                <c:formatCode>General</c:formatCode>
                <c:ptCount val="11"/>
                <c:pt idx="0">
                  <c:v>3418.2</c:v>
                </c:pt>
                <c:pt idx="1">
                  <c:v>3993.3</c:v>
                </c:pt>
                <c:pt idx="2">
                  <c:v>6034.3</c:v>
                </c:pt>
                <c:pt idx="3">
                  <c:v>6270.1</c:v>
                </c:pt>
                <c:pt idx="4">
                  <c:v>5505.2</c:v>
                </c:pt>
                <c:pt idx="5">
                  <c:v>5007.8</c:v>
                </c:pt>
                <c:pt idx="6">
                  <c:v>4438.7</c:v>
                </c:pt>
                <c:pt idx="7">
                  <c:v>4545</c:v>
                </c:pt>
                <c:pt idx="8">
                  <c:v>4947.1000000000004</c:v>
                </c:pt>
                <c:pt idx="9">
                  <c:v>7736</c:v>
                </c:pt>
                <c:pt idx="10">
                  <c:v>3044.5</c:v>
                </c:pt>
              </c:numCache>
            </c:numRef>
          </c:val>
        </c:ser>
        <c:ser>
          <c:idx val="1"/>
          <c:order val="1"/>
          <c:tx>
            <c:strRef>
              <c:f>Лист1!$E$20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Лист1!$C$21:$C$31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Лист1!$E$21:$E$31</c:f>
              <c:numCache>
                <c:formatCode>General</c:formatCode>
                <c:ptCount val="11"/>
                <c:pt idx="0">
                  <c:v>3484.4</c:v>
                </c:pt>
                <c:pt idx="1">
                  <c:v>3744.1</c:v>
                </c:pt>
                <c:pt idx="2">
                  <c:v>5657.4</c:v>
                </c:pt>
                <c:pt idx="3">
                  <c:v>6400.5</c:v>
                </c:pt>
                <c:pt idx="4">
                  <c:v>5635.6</c:v>
                </c:pt>
                <c:pt idx="5">
                  <c:v>5041.2</c:v>
                </c:pt>
                <c:pt idx="6">
                  <c:v>4546.3999999999996</c:v>
                </c:pt>
                <c:pt idx="7">
                  <c:v>4343.8999999999996</c:v>
                </c:pt>
                <c:pt idx="8">
                  <c:v>4912.8</c:v>
                </c:pt>
                <c:pt idx="9">
                  <c:v>8190.1</c:v>
                </c:pt>
                <c:pt idx="10">
                  <c:v>2918.7</c:v>
                </c:pt>
              </c:numCache>
            </c:numRef>
          </c:val>
        </c:ser>
        <c:ser>
          <c:idx val="2"/>
          <c:order val="2"/>
          <c:tx>
            <c:strRef>
              <c:f>Лист1!$F$20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Лист1!$C$21:$C$31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Лист1!$F$21:$F$31</c:f>
              <c:numCache>
                <c:formatCode>General</c:formatCode>
                <c:ptCount val="11"/>
                <c:pt idx="0">
                  <c:v>3552</c:v>
                </c:pt>
                <c:pt idx="1">
                  <c:v>3627.1</c:v>
                </c:pt>
                <c:pt idx="2">
                  <c:v>5214.1000000000004</c:v>
                </c:pt>
                <c:pt idx="3">
                  <c:v>6385.2</c:v>
                </c:pt>
                <c:pt idx="4">
                  <c:v>5806</c:v>
                </c:pt>
                <c:pt idx="5">
                  <c:v>5110.2</c:v>
                </c:pt>
                <c:pt idx="6">
                  <c:v>4626.6000000000004</c:v>
                </c:pt>
                <c:pt idx="7">
                  <c:v>4192</c:v>
                </c:pt>
                <c:pt idx="8">
                  <c:v>4824.1000000000004</c:v>
                </c:pt>
                <c:pt idx="9">
                  <c:v>8587.2000000000007</c:v>
                </c:pt>
                <c:pt idx="10">
                  <c:v>2857.7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24000"/>
        <c:axId val="130072576"/>
      </c:barChart>
      <c:catAx>
        <c:axId val="1466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072576"/>
        <c:crosses val="autoZero"/>
        <c:auto val="1"/>
        <c:lblAlgn val="ctr"/>
        <c:lblOffset val="100"/>
        <c:noMultiLvlLbl val="0"/>
      </c:catAx>
      <c:valAx>
        <c:axId val="13007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24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Лист1!$C$35:$C$45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Лист1!$D$35:$D$45</c:f>
              <c:numCache>
                <c:formatCode>General</c:formatCode>
                <c:ptCount val="11"/>
                <c:pt idx="0">
                  <c:v>3271.8</c:v>
                </c:pt>
                <c:pt idx="1">
                  <c:v>3834.4</c:v>
                </c:pt>
                <c:pt idx="2">
                  <c:v>5844.1</c:v>
                </c:pt>
                <c:pt idx="3">
                  <c:v>6267.3</c:v>
                </c:pt>
                <c:pt idx="4">
                  <c:v>5689.3</c:v>
                </c:pt>
                <c:pt idx="5">
                  <c:v>5373.3</c:v>
                </c:pt>
                <c:pt idx="6">
                  <c:v>4840.8</c:v>
                </c:pt>
                <c:pt idx="7">
                  <c:v>5289.9</c:v>
                </c:pt>
                <c:pt idx="8">
                  <c:v>6208</c:v>
                </c:pt>
                <c:pt idx="9">
                  <c:v>11823.4</c:v>
                </c:pt>
                <c:pt idx="10">
                  <c:v>7873.2</c:v>
                </c:pt>
              </c:numCache>
            </c:numRef>
          </c:val>
        </c:ser>
        <c:ser>
          <c:idx val="1"/>
          <c:order val="1"/>
          <c:tx>
            <c:strRef>
              <c:f>Лист1!$E$34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Лист1!$C$35:$C$45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Лист1!$E$35:$E$45</c:f>
              <c:numCache>
                <c:formatCode>General</c:formatCode>
                <c:ptCount val="11"/>
                <c:pt idx="0">
                  <c:v>3331.5</c:v>
                </c:pt>
                <c:pt idx="1">
                  <c:v>3591.7</c:v>
                </c:pt>
                <c:pt idx="2">
                  <c:v>5462.4</c:v>
                </c:pt>
                <c:pt idx="3">
                  <c:v>6365.1</c:v>
                </c:pt>
                <c:pt idx="4">
                  <c:v>5789.2</c:v>
                </c:pt>
                <c:pt idx="5">
                  <c:v>5412.3</c:v>
                </c:pt>
                <c:pt idx="6">
                  <c:v>4953.2</c:v>
                </c:pt>
                <c:pt idx="7">
                  <c:v>5028.3999999999996</c:v>
                </c:pt>
                <c:pt idx="8">
                  <c:v>6136.5</c:v>
                </c:pt>
                <c:pt idx="9">
                  <c:v>12532.2</c:v>
                </c:pt>
                <c:pt idx="10">
                  <c:v>7585.3</c:v>
                </c:pt>
              </c:numCache>
            </c:numRef>
          </c:val>
        </c:ser>
        <c:ser>
          <c:idx val="2"/>
          <c:order val="2"/>
          <c:tx>
            <c:strRef>
              <c:f>Лист1!$F$34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Лист1!$C$35:$C$45</c:f>
              <c:strCache>
                <c:ptCount val="11"/>
                <c:pt idx="0">
                  <c:v>15 – 19</c:v>
                </c:pt>
                <c:pt idx="1">
                  <c:v>20 – 24</c:v>
                </c:pt>
                <c:pt idx="2">
                  <c:v>25 – 29</c:v>
                </c:pt>
                <c:pt idx="3">
                  <c:v>30 – 34</c:v>
                </c:pt>
                <c:pt idx="4">
                  <c:v>35 – 39</c:v>
                </c:pt>
                <c:pt idx="5">
                  <c:v>40 – 44</c:v>
                </c:pt>
                <c:pt idx="6">
                  <c:v>45 – 49</c:v>
                </c:pt>
                <c:pt idx="7">
                  <c:v>50 – 54</c:v>
                </c:pt>
                <c:pt idx="8">
                  <c:v>55 – 59</c:v>
                </c:pt>
                <c:pt idx="9">
                  <c:v>60 – 72</c:v>
                </c:pt>
                <c:pt idx="10">
                  <c:v>73 и более</c:v>
                </c:pt>
              </c:strCache>
            </c:strRef>
          </c:cat>
          <c:val>
            <c:numRef>
              <c:f>Лист1!$F$35:$F$45</c:f>
              <c:numCache>
                <c:formatCode>General</c:formatCode>
                <c:ptCount val="11"/>
                <c:pt idx="0">
                  <c:v>3395.3</c:v>
                </c:pt>
                <c:pt idx="1">
                  <c:v>3487</c:v>
                </c:pt>
                <c:pt idx="2">
                  <c:v>5008</c:v>
                </c:pt>
                <c:pt idx="3">
                  <c:v>6332.4</c:v>
                </c:pt>
                <c:pt idx="4">
                  <c:v>5929.4</c:v>
                </c:pt>
                <c:pt idx="5">
                  <c:v>5484</c:v>
                </c:pt>
                <c:pt idx="6">
                  <c:v>5047.3999999999996</c:v>
                </c:pt>
                <c:pt idx="7">
                  <c:v>4828.5</c:v>
                </c:pt>
                <c:pt idx="8">
                  <c:v>5986.6</c:v>
                </c:pt>
                <c:pt idx="9">
                  <c:v>13152.8</c:v>
                </c:pt>
                <c:pt idx="10">
                  <c:v>7404.6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04704"/>
        <c:axId val="130075456"/>
      </c:barChart>
      <c:catAx>
        <c:axId val="15610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075456"/>
        <c:crosses val="autoZero"/>
        <c:auto val="1"/>
        <c:lblAlgn val="ctr"/>
        <c:lblOffset val="100"/>
        <c:noMultiLvlLbl val="0"/>
      </c:catAx>
      <c:valAx>
        <c:axId val="1300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04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11</cp:revision>
  <dcterms:created xsi:type="dcterms:W3CDTF">2020-05-13T11:36:00Z</dcterms:created>
  <dcterms:modified xsi:type="dcterms:W3CDTF">2022-01-20T08:57:00Z</dcterms:modified>
</cp:coreProperties>
</file>