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70" w:rsidRDefault="000635B1" w:rsidP="00D708C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570" w:rsidRPr="00D708CA">
        <w:rPr>
          <w:rFonts w:ascii="Times New Roman" w:hAnsi="Times New Roman" w:cs="Times New Roman"/>
          <w:color w:val="000000"/>
          <w:sz w:val="28"/>
          <w:szCs w:val="28"/>
        </w:rPr>
        <w:t>Единый налог при упрощённой системе налогообложения: влияние на деятельность субъектов малого предпринимательства</w:t>
      </w:r>
    </w:p>
    <w:p w:rsidR="00FA2570" w:rsidRDefault="00FA2570" w:rsidP="00D708C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Кылосова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Алексеевна</w:t>
      </w:r>
    </w:p>
    <w:p w:rsidR="00FA2570" w:rsidRDefault="00FA2570" w:rsidP="00D708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Гуманитарный факультет/кафедра «Экономика и финансы», Пермский национально исследовательский политехнический университет, Пермь, Россия</w:t>
      </w:r>
    </w:p>
    <w:p w:rsidR="00FA2570" w:rsidRDefault="00FA2570" w:rsidP="00D708C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FA2570" w:rsidRPr="000635B1" w:rsidRDefault="00FA2570" w:rsidP="00D70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5B1">
        <w:rPr>
          <w:rFonts w:ascii="Times New Roman" w:hAnsi="Times New Roman" w:cs="Times New Roman"/>
          <w:sz w:val="28"/>
          <w:szCs w:val="28"/>
        </w:rPr>
        <w:t>Актуальность темы заключается в том, что все компании сейчас</w:t>
      </w:r>
      <w:r>
        <w:rPr>
          <w:rFonts w:ascii="Times New Roman" w:hAnsi="Times New Roman" w:cs="Times New Roman"/>
          <w:sz w:val="28"/>
          <w:szCs w:val="28"/>
        </w:rPr>
        <w:t>, в постиндустриальном обществе,</w:t>
      </w:r>
      <w:r w:rsidRPr="000635B1">
        <w:rPr>
          <w:rFonts w:ascii="Times New Roman" w:hAnsi="Times New Roman" w:cs="Times New Roman"/>
          <w:sz w:val="28"/>
          <w:szCs w:val="28"/>
        </w:rPr>
        <w:t xml:space="preserve"> переходят на упрощенную систему налогообложения, </w:t>
      </w:r>
      <w:r>
        <w:rPr>
          <w:rFonts w:ascii="Times New Roman" w:hAnsi="Times New Roman" w:cs="Times New Roman"/>
          <w:sz w:val="28"/>
          <w:szCs w:val="28"/>
        </w:rPr>
        <w:t xml:space="preserve">потому что она проще, удобнее, а главное – </w:t>
      </w:r>
      <w:r w:rsidRPr="000635B1">
        <w:rPr>
          <w:rFonts w:ascii="Times New Roman" w:hAnsi="Times New Roman" w:cs="Times New Roman"/>
          <w:sz w:val="28"/>
          <w:szCs w:val="28"/>
        </w:rPr>
        <w:t>выгоднее.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5B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данной работы</w:t>
      </w:r>
      <w:r w:rsidRPr="000635B1">
        <w:rPr>
          <w:rFonts w:ascii="Times New Roman" w:hAnsi="Times New Roman" w:cs="Times New Roman"/>
          <w:sz w:val="28"/>
          <w:szCs w:val="28"/>
        </w:rPr>
        <w:t xml:space="preserve"> является исследование упрощенной системы налогообложения.</w:t>
      </w:r>
      <w:r>
        <w:rPr>
          <w:rFonts w:ascii="Times New Roman" w:hAnsi="Times New Roman" w:cs="Times New Roman"/>
          <w:sz w:val="28"/>
          <w:szCs w:val="28"/>
        </w:rPr>
        <w:t xml:space="preserve"> Задача работы –</w:t>
      </w:r>
      <w:r w:rsidRPr="00063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0635B1">
        <w:rPr>
          <w:rFonts w:ascii="Times New Roman" w:hAnsi="Times New Roman" w:cs="Times New Roman"/>
          <w:sz w:val="28"/>
          <w:szCs w:val="28"/>
        </w:rPr>
        <w:t xml:space="preserve"> упрощенную систему налогообложения, </w:t>
      </w:r>
      <w:r>
        <w:rPr>
          <w:rFonts w:ascii="Times New Roman" w:hAnsi="Times New Roman" w:cs="Times New Roman"/>
          <w:sz w:val="28"/>
          <w:szCs w:val="28"/>
        </w:rPr>
        <w:t>изучить, кто является налогоплательщиками</w:t>
      </w:r>
      <w:r w:rsidRPr="00063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изучить</w:t>
      </w:r>
      <w:r w:rsidRPr="000635B1">
        <w:rPr>
          <w:rFonts w:ascii="Times New Roman" w:hAnsi="Times New Roman" w:cs="Times New Roman"/>
          <w:sz w:val="28"/>
          <w:szCs w:val="28"/>
        </w:rPr>
        <w:t xml:space="preserve"> особенности расчета налоговой базы при переходе с общей системы налогообложения на </w:t>
      </w:r>
      <w:proofErr w:type="gramStart"/>
      <w:r w:rsidRPr="000635B1">
        <w:rPr>
          <w:rFonts w:ascii="Times New Roman" w:hAnsi="Times New Roman" w:cs="Times New Roman"/>
          <w:sz w:val="28"/>
          <w:szCs w:val="28"/>
        </w:rPr>
        <w:t>упрощенную</w:t>
      </w:r>
      <w:proofErr w:type="gramEnd"/>
      <w:r w:rsidRPr="000635B1">
        <w:rPr>
          <w:rFonts w:ascii="Times New Roman" w:hAnsi="Times New Roman" w:cs="Times New Roman"/>
          <w:sz w:val="28"/>
          <w:szCs w:val="28"/>
        </w:rPr>
        <w:t xml:space="preserve"> и наоборот.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A2570">
        <w:rPr>
          <w:rFonts w:ascii="Times New Roman" w:hAnsi="Times New Roman" w:cs="Times New Roman"/>
          <w:sz w:val="28"/>
          <w:szCs w:val="28"/>
        </w:rPr>
        <w:t>алый бизнес в России – это уже реальность, и от его развития, от такого отношения общества и государства к экономической сфере зависит развитие всей России в целом.</w:t>
      </w:r>
    </w:p>
    <w:p w:rsidR="00FA2570" w:rsidRDefault="00FA2570" w:rsidP="00FA2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635B1">
        <w:rPr>
          <w:rFonts w:ascii="Times New Roman" w:hAnsi="Times New Roman" w:cs="Times New Roman"/>
          <w:sz w:val="28"/>
          <w:szCs w:val="28"/>
        </w:rPr>
        <w:t xml:space="preserve">Упрощенная система </w:t>
      </w:r>
      <w:r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государство, налоговая база, упрощенная система.</w:t>
      </w:r>
    </w:p>
    <w:p w:rsidR="00FA2570" w:rsidRDefault="00FA2570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70" w:rsidRDefault="00FA2570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70" w:rsidRDefault="00FA2570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70" w:rsidRDefault="00FA2570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8CA" w:rsidRDefault="00D708CA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8CA" w:rsidRDefault="00D708CA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8CA" w:rsidRDefault="00D708CA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8CA" w:rsidRDefault="00D708CA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8CA" w:rsidRDefault="00D708CA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8CA" w:rsidRDefault="00D708CA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70" w:rsidRDefault="00FA2570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09" w:rsidRPr="000635B1" w:rsidRDefault="003D6F09" w:rsidP="00D70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5B1">
        <w:rPr>
          <w:rFonts w:ascii="Times New Roman" w:hAnsi="Times New Roman" w:cs="Times New Roman"/>
          <w:sz w:val="28"/>
          <w:szCs w:val="28"/>
        </w:rPr>
        <w:lastRenderedPageBreak/>
        <w:t xml:space="preserve">Упрощенная система </w:t>
      </w:r>
      <w:r w:rsidR="00097AD3">
        <w:rPr>
          <w:rFonts w:ascii="Times New Roman" w:hAnsi="Times New Roman" w:cs="Times New Roman"/>
          <w:sz w:val="28"/>
          <w:szCs w:val="28"/>
        </w:rPr>
        <w:t xml:space="preserve">налогообложения, </w:t>
      </w:r>
      <w:r w:rsidR="00D708C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97AD3">
        <w:rPr>
          <w:rFonts w:ascii="Times New Roman" w:hAnsi="Times New Roman" w:cs="Times New Roman"/>
          <w:sz w:val="28"/>
          <w:szCs w:val="28"/>
        </w:rPr>
        <w:t xml:space="preserve">УСН – это названия наиболее </w:t>
      </w:r>
      <w:r w:rsidRPr="000635B1">
        <w:rPr>
          <w:rFonts w:ascii="Times New Roman" w:hAnsi="Times New Roman" w:cs="Times New Roman"/>
          <w:sz w:val="28"/>
          <w:szCs w:val="28"/>
        </w:rPr>
        <w:t xml:space="preserve">популярной налоговой системы среди </w:t>
      </w:r>
      <w:r w:rsidR="00097AD3">
        <w:rPr>
          <w:rFonts w:ascii="Times New Roman" w:hAnsi="Times New Roman" w:cs="Times New Roman"/>
          <w:sz w:val="28"/>
          <w:szCs w:val="28"/>
        </w:rPr>
        <w:t xml:space="preserve">как малого, так и </w:t>
      </w:r>
      <w:r w:rsidRPr="000635B1">
        <w:rPr>
          <w:rFonts w:ascii="Times New Roman" w:hAnsi="Times New Roman" w:cs="Times New Roman"/>
          <w:sz w:val="28"/>
          <w:szCs w:val="28"/>
        </w:rPr>
        <w:t>среднего бизнеса. Привлекательность упрощенной системы налогообложения можно объяснить как низкой налоговой нагрузкой, так и относительной простотой учета и отчетности, особенно для индивидуальных предпринимателей.</w:t>
      </w:r>
    </w:p>
    <w:p w:rsidR="003D6F09" w:rsidRPr="001621BF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F09" w:rsidRPr="000635B1">
        <w:rPr>
          <w:rFonts w:ascii="Times New Roman" w:hAnsi="Times New Roman" w:cs="Times New Roman"/>
          <w:sz w:val="28"/>
          <w:szCs w:val="28"/>
        </w:rPr>
        <w:t>Государственная поддержка малого бизнеса предоставляется по следующим направлениям</w:t>
      </w:r>
      <w:r w:rsidR="001621BF" w:rsidRPr="001621BF">
        <w:rPr>
          <w:rFonts w:ascii="Times New Roman" w:hAnsi="Times New Roman" w:cs="Times New Roman"/>
          <w:sz w:val="28"/>
          <w:szCs w:val="28"/>
        </w:rPr>
        <w:t xml:space="preserve"> [1]</w:t>
      </w:r>
      <w:r w:rsidR="003D6F09" w:rsidRPr="000635B1">
        <w:rPr>
          <w:rFonts w:ascii="Times New Roman" w:hAnsi="Times New Roman" w:cs="Times New Roman"/>
          <w:sz w:val="28"/>
          <w:szCs w:val="28"/>
        </w:rPr>
        <w:t>:</w:t>
      </w:r>
      <w:r w:rsidR="001621BF" w:rsidRPr="00162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09" w:rsidRPr="000635B1" w:rsidRDefault="003D6F09" w:rsidP="006553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5B1">
        <w:rPr>
          <w:rFonts w:ascii="Times New Roman" w:hAnsi="Times New Roman" w:cs="Times New Roman"/>
          <w:sz w:val="28"/>
          <w:szCs w:val="28"/>
        </w:rPr>
        <w:t>Создание инфраструктуры для поддержки и развития малого бизнеса;</w:t>
      </w:r>
    </w:p>
    <w:p w:rsidR="003D6F09" w:rsidRPr="000635B1" w:rsidRDefault="003D6F09" w:rsidP="006553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5B1">
        <w:rPr>
          <w:rFonts w:ascii="Times New Roman" w:hAnsi="Times New Roman" w:cs="Times New Roman"/>
          <w:sz w:val="28"/>
          <w:szCs w:val="28"/>
        </w:rPr>
        <w:t>Создание условий для развития малого бизнеса, включая льготное налогообложение;</w:t>
      </w:r>
    </w:p>
    <w:p w:rsidR="000635B1" w:rsidRDefault="003D6F09" w:rsidP="006553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5B1">
        <w:rPr>
          <w:rFonts w:ascii="Times New Roman" w:hAnsi="Times New Roman" w:cs="Times New Roman"/>
          <w:sz w:val="28"/>
          <w:szCs w:val="28"/>
        </w:rPr>
        <w:t>Введение упрощенного порядка регистрации субъектов малого предпринимательства, упрощенной системы налогообложения и отчетности;</w:t>
      </w:r>
    </w:p>
    <w:p w:rsidR="000635B1" w:rsidRDefault="003D6F09" w:rsidP="006553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5B1">
        <w:rPr>
          <w:rFonts w:ascii="Times New Roman" w:hAnsi="Times New Roman" w:cs="Times New Roman"/>
          <w:sz w:val="28"/>
          <w:szCs w:val="28"/>
        </w:rPr>
        <w:t>Организация обучения, переподготовки и повышения квалификации кадров для малого бизнеса;</w:t>
      </w:r>
    </w:p>
    <w:p w:rsidR="003D6F09" w:rsidRPr="000635B1" w:rsidRDefault="003D6F09" w:rsidP="006553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5B1">
        <w:rPr>
          <w:rFonts w:ascii="Times New Roman" w:hAnsi="Times New Roman" w:cs="Times New Roman"/>
          <w:sz w:val="28"/>
          <w:szCs w:val="28"/>
        </w:rPr>
        <w:t>Финансовая поддержка малого бизнеса.</w:t>
      </w:r>
    </w:p>
    <w:p w:rsidR="003D6F09" w:rsidRPr="000635B1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F09" w:rsidRPr="000635B1">
        <w:rPr>
          <w:rFonts w:ascii="Times New Roman" w:hAnsi="Times New Roman" w:cs="Times New Roman"/>
          <w:sz w:val="28"/>
          <w:szCs w:val="28"/>
        </w:rPr>
        <w:t>Помимо малого бизнеса, организации и индивидуальные предприниматели могут применять определенные налоговые системы в зависимости от характера своей деятельности.</w:t>
      </w:r>
    </w:p>
    <w:p w:rsidR="003D6F09" w:rsidRPr="000635B1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97AD3">
        <w:rPr>
          <w:rFonts w:ascii="Times New Roman" w:hAnsi="Times New Roman" w:cs="Times New Roman"/>
          <w:sz w:val="28"/>
          <w:szCs w:val="28"/>
        </w:rPr>
        <w:t>данной работы</w:t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 является исследование упрощенной системы налогообложения.</w:t>
      </w:r>
    </w:p>
    <w:p w:rsidR="003D6F09" w:rsidRPr="000635B1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AD3">
        <w:rPr>
          <w:rFonts w:ascii="Times New Roman" w:hAnsi="Times New Roman" w:cs="Times New Roman"/>
          <w:sz w:val="28"/>
          <w:szCs w:val="28"/>
        </w:rPr>
        <w:t>Задача работы –</w:t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 </w:t>
      </w:r>
      <w:r w:rsidR="00097AD3">
        <w:rPr>
          <w:rFonts w:ascii="Times New Roman" w:hAnsi="Times New Roman" w:cs="Times New Roman"/>
          <w:sz w:val="28"/>
          <w:szCs w:val="28"/>
        </w:rPr>
        <w:t>изучить</w:t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 упрощенную систему налогообложения, </w:t>
      </w:r>
      <w:r w:rsidR="00097AD3">
        <w:rPr>
          <w:rFonts w:ascii="Times New Roman" w:hAnsi="Times New Roman" w:cs="Times New Roman"/>
          <w:sz w:val="28"/>
          <w:szCs w:val="28"/>
        </w:rPr>
        <w:t>изучить, кто является налогоплательщиками</w:t>
      </w:r>
      <w:r w:rsidR="003D6F09" w:rsidRPr="000635B1">
        <w:rPr>
          <w:rFonts w:ascii="Times New Roman" w:hAnsi="Times New Roman" w:cs="Times New Roman"/>
          <w:sz w:val="28"/>
          <w:szCs w:val="28"/>
        </w:rPr>
        <w:t>,</w:t>
      </w:r>
      <w:r w:rsidR="00097AD3">
        <w:rPr>
          <w:rFonts w:ascii="Times New Roman" w:hAnsi="Times New Roman" w:cs="Times New Roman"/>
          <w:sz w:val="28"/>
          <w:szCs w:val="28"/>
        </w:rPr>
        <w:t xml:space="preserve"> а также изучить</w:t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 особенности расчета налоговой базы при переходе с общей системы налогообложения </w:t>
      </w:r>
      <w:proofErr w:type="gramStart"/>
      <w:r w:rsidR="003D6F09" w:rsidRPr="000635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D6F09" w:rsidRPr="000635B1">
        <w:rPr>
          <w:rFonts w:ascii="Times New Roman" w:hAnsi="Times New Roman" w:cs="Times New Roman"/>
          <w:sz w:val="28"/>
          <w:szCs w:val="28"/>
        </w:rPr>
        <w:t xml:space="preserve"> упрощенную и наоборот.</w:t>
      </w:r>
    </w:p>
    <w:p w:rsidR="003D6F09" w:rsidRPr="000635B1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F09" w:rsidRPr="000635B1">
        <w:rPr>
          <w:rFonts w:ascii="Times New Roman" w:hAnsi="Times New Roman" w:cs="Times New Roman"/>
          <w:sz w:val="28"/>
          <w:szCs w:val="28"/>
        </w:rPr>
        <w:t>Актуальность темы заключается в том, что все компании сейчас</w:t>
      </w:r>
      <w:r w:rsidR="00097AD3">
        <w:rPr>
          <w:rFonts w:ascii="Times New Roman" w:hAnsi="Times New Roman" w:cs="Times New Roman"/>
          <w:sz w:val="28"/>
          <w:szCs w:val="28"/>
        </w:rPr>
        <w:t>, в постиндустриальном обществе,</w:t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 переходят на упрощенную систему налогообложения, </w:t>
      </w:r>
      <w:r w:rsidR="00097AD3">
        <w:rPr>
          <w:rFonts w:ascii="Times New Roman" w:hAnsi="Times New Roman" w:cs="Times New Roman"/>
          <w:sz w:val="28"/>
          <w:szCs w:val="28"/>
        </w:rPr>
        <w:t xml:space="preserve">потому что она проще, удобнее, а главное – </w:t>
      </w:r>
      <w:r w:rsidR="003D6F09" w:rsidRPr="000635B1">
        <w:rPr>
          <w:rFonts w:ascii="Times New Roman" w:hAnsi="Times New Roman" w:cs="Times New Roman"/>
          <w:sz w:val="28"/>
          <w:szCs w:val="28"/>
        </w:rPr>
        <w:t>выгоднее.</w:t>
      </w:r>
    </w:p>
    <w:p w:rsidR="003D6F09" w:rsidRPr="00097AD3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Фиксированный налог заменяет уплату </w:t>
      </w:r>
      <w:r w:rsidR="00097AD3">
        <w:rPr>
          <w:rFonts w:ascii="Times New Roman" w:hAnsi="Times New Roman" w:cs="Times New Roman"/>
          <w:sz w:val="28"/>
          <w:szCs w:val="28"/>
        </w:rPr>
        <w:t xml:space="preserve">ряда налогов: </w:t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подоходного налога, налога на имущество и налога с продаж для предприятий. Конечно, </w:t>
      </w:r>
      <w:r w:rsidR="003D6F09" w:rsidRPr="000635B1">
        <w:rPr>
          <w:rFonts w:ascii="Times New Roman" w:hAnsi="Times New Roman" w:cs="Times New Roman"/>
          <w:sz w:val="28"/>
          <w:szCs w:val="28"/>
        </w:rPr>
        <w:lastRenderedPageBreak/>
        <w:t>это правило не без исключения:</w:t>
      </w:r>
      <w:r w:rsidR="00097AD3">
        <w:rPr>
          <w:rFonts w:ascii="Times New Roman" w:hAnsi="Times New Roman" w:cs="Times New Roman"/>
          <w:sz w:val="28"/>
          <w:szCs w:val="28"/>
        </w:rPr>
        <w:t xml:space="preserve"> п</w:t>
      </w:r>
      <w:r w:rsidR="003D6F09" w:rsidRPr="00097AD3">
        <w:rPr>
          <w:rFonts w:ascii="Times New Roman" w:hAnsi="Times New Roman" w:cs="Times New Roman"/>
          <w:sz w:val="28"/>
          <w:szCs w:val="28"/>
        </w:rPr>
        <w:t>ри ввозе товаров в Российскую Федерацию налогоплательщики по упрощенному налогу получают НДС</w:t>
      </w:r>
      <w:r w:rsidR="001621BF" w:rsidRPr="006553AE">
        <w:rPr>
          <w:rFonts w:ascii="Times New Roman" w:hAnsi="Times New Roman" w:cs="Times New Roman"/>
          <w:sz w:val="28"/>
          <w:szCs w:val="28"/>
        </w:rPr>
        <w:t xml:space="preserve"> [2]</w:t>
      </w:r>
      <w:r w:rsidR="003D6F09" w:rsidRPr="00097AD3">
        <w:rPr>
          <w:rFonts w:ascii="Times New Roman" w:hAnsi="Times New Roman" w:cs="Times New Roman"/>
          <w:sz w:val="28"/>
          <w:szCs w:val="28"/>
        </w:rPr>
        <w:t>.</w:t>
      </w:r>
    </w:p>
    <w:p w:rsidR="003D6F09" w:rsidRPr="000635B1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F09" w:rsidRPr="000635B1">
        <w:rPr>
          <w:rFonts w:ascii="Times New Roman" w:hAnsi="Times New Roman" w:cs="Times New Roman"/>
          <w:sz w:val="28"/>
          <w:szCs w:val="28"/>
        </w:rPr>
        <w:t>В рамках упрощенной системы налогообложения компании также должны платить налог на имущество, если недвижимость оценивается в соответствии с кадастровым законодательством. В частности, с 2014 года такой налог взимается с компаний, владеющих торговыми и офисными помещениями, но пока только в тех регионах, где приняты соответствующие законы.</w:t>
      </w:r>
    </w:p>
    <w:p w:rsidR="003D6F09" w:rsidRPr="000635B1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F09" w:rsidRPr="000635B1">
        <w:rPr>
          <w:rFonts w:ascii="Times New Roman" w:hAnsi="Times New Roman" w:cs="Times New Roman"/>
          <w:sz w:val="28"/>
          <w:szCs w:val="28"/>
        </w:rPr>
        <w:t>Для индивидуальных предпринимателей единый налог заменяет налог на прибыль от предпринимательской деятельности, НДС (без НДС при ввозе на территорию Российской Федерации) и налог на имущество. Индивидуальные предприниматели могут быть освобождены от уплаты налогов на коммерческую недвижимость, если они обратятся в налоговую инспекцию с соответствующей декларацией.</w:t>
      </w:r>
    </w:p>
    <w:p w:rsidR="000635B1" w:rsidRDefault="00063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6F09" w:rsidRPr="000635B1" w:rsidRDefault="003D6F09" w:rsidP="00016AC3">
      <w:pPr>
        <w:pStyle w:val="1"/>
        <w:spacing w:before="0" w:line="360" w:lineRule="auto"/>
      </w:pPr>
      <w:r w:rsidRPr="000635B1">
        <w:lastRenderedPageBreak/>
        <w:t>1. Упрощенная система налогообложения</w:t>
      </w:r>
    </w:p>
    <w:p w:rsidR="003D6F09" w:rsidRPr="000635B1" w:rsidRDefault="003D6F09" w:rsidP="00016AC3">
      <w:pPr>
        <w:pStyle w:val="1"/>
        <w:spacing w:before="0" w:line="360" w:lineRule="auto"/>
      </w:pPr>
      <w:r w:rsidRPr="000635B1">
        <w:t>1.1. Описание упрощенной системы налогообложения</w:t>
      </w:r>
    </w:p>
    <w:p w:rsidR="003D6F09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F09" w:rsidRPr="000635B1">
        <w:rPr>
          <w:rFonts w:ascii="Times New Roman" w:hAnsi="Times New Roman" w:cs="Times New Roman"/>
          <w:sz w:val="28"/>
          <w:szCs w:val="28"/>
        </w:rPr>
        <w:t>Упрощенная налоговая система (</w:t>
      </w:r>
      <w:r w:rsidR="0026416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УСН) введена Федеральным законом от 24 июля 2002 г. № 104-ФЗ, который регулируется главой 26.2 Налогового кодекса Российской Федерации </w:t>
      </w:r>
      <w:r w:rsidR="001621BF" w:rsidRPr="001621BF">
        <w:rPr>
          <w:rFonts w:ascii="Times New Roman" w:hAnsi="Times New Roman" w:cs="Times New Roman"/>
          <w:sz w:val="28"/>
          <w:szCs w:val="28"/>
        </w:rPr>
        <w:t xml:space="preserve">[3] </w:t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и применяется организациями и индивидуальными предпринимателями наряду </w:t>
      </w:r>
      <w:r w:rsidR="00264163">
        <w:rPr>
          <w:rFonts w:ascii="Times New Roman" w:hAnsi="Times New Roman" w:cs="Times New Roman"/>
          <w:sz w:val="28"/>
          <w:szCs w:val="28"/>
        </w:rPr>
        <w:t>с общей системой налогообложения.</w:t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4163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264163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3D6F09" w:rsidRPr="000635B1">
        <w:rPr>
          <w:rFonts w:ascii="Times New Roman" w:hAnsi="Times New Roman" w:cs="Times New Roman"/>
          <w:sz w:val="28"/>
          <w:szCs w:val="28"/>
        </w:rPr>
        <w:t>упрощенн</w:t>
      </w:r>
      <w:r w:rsidR="00264163">
        <w:rPr>
          <w:rFonts w:ascii="Times New Roman" w:hAnsi="Times New Roman" w:cs="Times New Roman"/>
          <w:sz w:val="28"/>
          <w:szCs w:val="28"/>
        </w:rPr>
        <w:t>ую</w:t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64163">
        <w:rPr>
          <w:rFonts w:ascii="Times New Roman" w:hAnsi="Times New Roman" w:cs="Times New Roman"/>
          <w:sz w:val="28"/>
          <w:szCs w:val="28"/>
        </w:rPr>
        <w:t>у</w:t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 налогообложения организаци</w:t>
      </w:r>
      <w:r w:rsidR="00264163">
        <w:rPr>
          <w:rFonts w:ascii="Times New Roman" w:hAnsi="Times New Roman" w:cs="Times New Roman"/>
          <w:sz w:val="28"/>
          <w:szCs w:val="28"/>
        </w:rPr>
        <w:t>и, это</w:t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 предусматривает освобождение их от обязанности по уплате </w:t>
      </w:r>
      <w:r w:rsidR="00264163">
        <w:rPr>
          <w:rFonts w:ascii="Times New Roman" w:hAnsi="Times New Roman" w:cs="Times New Roman"/>
          <w:sz w:val="28"/>
          <w:szCs w:val="28"/>
        </w:rPr>
        <w:t xml:space="preserve">таких налогов, как: </w:t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корпоративного налога и единого социального налога. Организации, </w:t>
      </w:r>
      <w:r w:rsidR="00264163">
        <w:rPr>
          <w:rFonts w:ascii="Times New Roman" w:hAnsi="Times New Roman" w:cs="Times New Roman"/>
          <w:sz w:val="28"/>
          <w:szCs w:val="28"/>
        </w:rPr>
        <w:t xml:space="preserve">которые используют или перешли на </w:t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упрощенную систему налогообложения, </w:t>
      </w:r>
      <w:r w:rsidR="00264163">
        <w:rPr>
          <w:rFonts w:ascii="Times New Roman" w:hAnsi="Times New Roman" w:cs="Times New Roman"/>
          <w:sz w:val="28"/>
          <w:szCs w:val="28"/>
        </w:rPr>
        <w:t>освобождаются от уплаты налога на добавленную стоимость (далее – НДС)</w:t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, </w:t>
      </w:r>
      <w:r w:rsidR="00264163">
        <w:rPr>
          <w:rFonts w:ascii="Times New Roman" w:hAnsi="Times New Roman" w:cs="Times New Roman"/>
          <w:sz w:val="28"/>
          <w:szCs w:val="28"/>
        </w:rPr>
        <w:t xml:space="preserve">но есть и исключения, например, </w:t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НДС, который </w:t>
      </w:r>
      <w:r w:rsidR="00883278">
        <w:rPr>
          <w:rFonts w:ascii="Times New Roman" w:hAnsi="Times New Roman" w:cs="Times New Roman"/>
          <w:sz w:val="28"/>
          <w:szCs w:val="28"/>
        </w:rPr>
        <w:t xml:space="preserve">обязаны платить при </w:t>
      </w:r>
      <w:r w:rsidR="00776467">
        <w:rPr>
          <w:rFonts w:ascii="Times New Roman" w:hAnsi="Times New Roman" w:cs="Times New Roman"/>
          <w:sz w:val="28"/>
          <w:szCs w:val="28"/>
        </w:rPr>
        <w:t xml:space="preserve">импорте </w:t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товаров на таможенную территорию Российской Федерации. </w:t>
      </w:r>
      <w:r w:rsidR="0077646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7764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6467">
        <w:rPr>
          <w:rFonts w:ascii="Times New Roman" w:hAnsi="Times New Roman" w:cs="Times New Roman"/>
          <w:sz w:val="28"/>
          <w:szCs w:val="28"/>
        </w:rPr>
        <w:t xml:space="preserve"> уплату страховых взносов по обязательному пенсионному страхованию никто не отменял.</w:t>
      </w:r>
    </w:p>
    <w:p w:rsidR="00946F23" w:rsidRDefault="007F6A3B" w:rsidP="00655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Упрощенная система в отличие от общей системы налогообложения предполагает, что </w:t>
      </w:r>
      <w:r w:rsidR="00E507A4">
        <w:rPr>
          <w:rFonts w:ascii="Times New Roman" w:hAnsi="Times New Roman" w:cs="Times New Roman"/>
          <w:sz w:val="28"/>
          <w:szCs w:val="28"/>
        </w:rPr>
        <w:t>отсутствуют определенные обязанности, касающихся  уплаты налогов</w:t>
      </w:r>
      <w:r w:rsidR="00946F23">
        <w:rPr>
          <w:rFonts w:ascii="Times New Roman" w:hAnsi="Times New Roman" w:cs="Times New Roman"/>
          <w:sz w:val="28"/>
          <w:szCs w:val="28"/>
        </w:rPr>
        <w:t xml:space="preserve"> </w:t>
      </w:r>
      <w:r w:rsidR="00946F23" w:rsidRPr="000635B1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E507A4">
        <w:rPr>
          <w:rFonts w:ascii="Times New Roman" w:hAnsi="Times New Roman" w:cs="Times New Roman"/>
          <w:sz w:val="28"/>
          <w:szCs w:val="28"/>
        </w:rPr>
        <w:t xml:space="preserve">. </w:t>
      </w:r>
      <w:r w:rsidR="00946F23">
        <w:rPr>
          <w:rFonts w:ascii="Times New Roman" w:hAnsi="Times New Roman" w:cs="Times New Roman"/>
          <w:sz w:val="28"/>
          <w:szCs w:val="28"/>
        </w:rPr>
        <w:t xml:space="preserve">Данные контрагенты экономической системы освобождаются от уплаты следующих налогов: </w:t>
      </w:r>
    </w:p>
    <w:p w:rsidR="007F6A3B" w:rsidRPr="00946F23" w:rsidRDefault="00946F23" w:rsidP="006553AE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23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(далее – НДФЛ), в данном случае налог касается доходов от предпринимательской деятельности. </w:t>
      </w:r>
    </w:p>
    <w:p w:rsidR="00946F23" w:rsidRPr="00946F23" w:rsidRDefault="00946F23" w:rsidP="006553AE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</w:t>
      </w:r>
      <w:r w:rsidRPr="000635B1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применяющийся </w:t>
      </w:r>
      <w:r w:rsidR="008F224F" w:rsidRPr="000635B1">
        <w:rPr>
          <w:rFonts w:ascii="Times New Roman" w:hAnsi="Times New Roman" w:cs="Times New Roman"/>
          <w:sz w:val="28"/>
          <w:szCs w:val="28"/>
        </w:rPr>
        <w:t>в отношении активов, используемых в коммерческих целях</w:t>
      </w:r>
    </w:p>
    <w:p w:rsidR="003D6F09" w:rsidRPr="008F224F" w:rsidRDefault="003D6F09" w:rsidP="006553AE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24F">
        <w:rPr>
          <w:rFonts w:ascii="Times New Roman" w:hAnsi="Times New Roman" w:cs="Times New Roman"/>
          <w:sz w:val="28"/>
          <w:szCs w:val="28"/>
        </w:rPr>
        <w:t>Социальный налог</w:t>
      </w:r>
      <w:r w:rsidR="008F224F">
        <w:rPr>
          <w:rFonts w:ascii="Times New Roman" w:hAnsi="Times New Roman" w:cs="Times New Roman"/>
          <w:sz w:val="28"/>
          <w:szCs w:val="28"/>
        </w:rPr>
        <w:t>, данный налог имеет связь с</w:t>
      </w:r>
      <w:r w:rsidRPr="008F224F">
        <w:rPr>
          <w:rFonts w:ascii="Times New Roman" w:hAnsi="Times New Roman" w:cs="Times New Roman"/>
          <w:sz w:val="28"/>
          <w:szCs w:val="28"/>
        </w:rPr>
        <w:t xml:space="preserve"> </w:t>
      </w:r>
      <w:r w:rsidR="008F224F">
        <w:rPr>
          <w:rFonts w:ascii="Times New Roman" w:hAnsi="Times New Roman" w:cs="Times New Roman"/>
          <w:sz w:val="28"/>
          <w:szCs w:val="28"/>
        </w:rPr>
        <w:t>такими льготами, как</w:t>
      </w:r>
      <w:r w:rsidR="0041360F">
        <w:rPr>
          <w:rFonts w:ascii="Times New Roman" w:hAnsi="Times New Roman" w:cs="Times New Roman"/>
          <w:sz w:val="28"/>
          <w:szCs w:val="28"/>
        </w:rPr>
        <w:t>:</w:t>
      </w:r>
      <w:r w:rsidR="008F224F">
        <w:rPr>
          <w:rFonts w:ascii="Times New Roman" w:hAnsi="Times New Roman" w:cs="Times New Roman"/>
          <w:sz w:val="28"/>
          <w:szCs w:val="28"/>
        </w:rPr>
        <w:t xml:space="preserve"> </w:t>
      </w:r>
      <w:r w:rsidRPr="008F224F">
        <w:rPr>
          <w:rFonts w:ascii="Times New Roman" w:hAnsi="Times New Roman" w:cs="Times New Roman"/>
          <w:sz w:val="28"/>
          <w:szCs w:val="28"/>
        </w:rPr>
        <w:t>корпоративны</w:t>
      </w:r>
      <w:r w:rsidR="0041360F">
        <w:rPr>
          <w:rFonts w:ascii="Times New Roman" w:hAnsi="Times New Roman" w:cs="Times New Roman"/>
          <w:sz w:val="28"/>
          <w:szCs w:val="28"/>
        </w:rPr>
        <w:t>й</w:t>
      </w:r>
      <w:r w:rsidRPr="008F224F">
        <w:rPr>
          <w:rFonts w:ascii="Times New Roman" w:hAnsi="Times New Roman" w:cs="Times New Roman"/>
          <w:sz w:val="28"/>
          <w:szCs w:val="28"/>
        </w:rPr>
        <w:t xml:space="preserve"> доходом и платеж</w:t>
      </w:r>
      <w:r w:rsidR="0041360F">
        <w:rPr>
          <w:rFonts w:ascii="Times New Roman" w:hAnsi="Times New Roman" w:cs="Times New Roman"/>
          <w:sz w:val="28"/>
          <w:szCs w:val="28"/>
        </w:rPr>
        <w:t>ей</w:t>
      </w:r>
      <w:r w:rsidRPr="008F224F">
        <w:rPr>
          <w:rFonts w:ascii="Times New Roman" w:hAnsi="Times New Roman" w:cs="Times New Roman"/>
          <w:sz w:val="28"/>
          <w:szCs w:val="28"/>
        </w:rPr>
        <w:t>, а также другими льготами, которые они предос</w:t>
      </w:r>
      <w:r w:rsidR="0041360F">
        <w:rPr>
          <w:rFonts w:ascii="Times New Roman" w:hAnsi="Times New Roman" w:cs="Times New Roman"/>
          <w:sz w:val="28"/>
          <w:szCs w:val="28"/>
        </w:rPr>
        <w:t>тавляют от имени физических лиц</w:t>
      </w:r>
      <w:r w:rsidRPr="008F224F">
        <w:rPr>
          <w:rFonts w:ascii="Times New Roman" w:hAnsi="Times New Roman" w:cs="Times New Roman"/>
          <w:sz w:val="28"/>
          <w:szCs w:val="28"/>
        </w:rPr>
        <w:t>.</w:t>
      </w:r>
    </w:p>
    <w:p w:rsidR="000635B1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F7E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предприниматели, использующие УСН, не освобождаются от обязанностей по использовании налоговых консультантов, которые предусмотрены НК РФ.</w:t>
      </w:r>
      <w:r w:rsidR="00132208">
        <w:rPr>
          <w:rFonts w:ascii="Times New Roman" w:hAnsi="Times New Roman" w:cs="Times New Roman"/>
          <w:sz w:val="28"/>
          <w:szCs w:val="28"/>
        </w:rPr>
        <w:t xml:space="preserve"> Д</w:t>
      </w:r>
      <w:r w:rsidR="00667E1B">
        <w:rPr>
          <w:rFonts w:ascii="Times New Roman" w:hAnsi="Times New Roman" w:cs="Times New Roman"/>
          <w:sz w:val="28"/>
          <w:szCs w:val="28"/>
        </w:rPr>
        <w:t>ля данных</w:t>
      </w:r>
      <w:r w:rsidR="00132208">
        <w:rPr>
          <w:rFonts w:ascii="Times New Roman" w:hAnsi="Times New Roman" w:cs="Times New Roman"/>
          <w:sz w:val="28"/>
          <w:szCs w:val="28"/>
        </w:rPr>
        <w:t xml:space="preserve"> </w:t>
      </w:r>
      <w:r w:rsidR="00132208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налогоплательщиков сохраняется </w:t>
      </w:r>
      <w:r w:rsidR="00667E1B">
        <w:rPr>
          <w:rFonts w:ascii="Times New Roman" w:hAnsi="Times New Roman" w:cs="Times New Roman"/>
          <w:sz w:val="28"/>
          <w:szCs w:val="28"/>
        </w:rPr>
        <w:t xml:space="preserve">порядок по предоставлению отчетности статистическим органам, а также порядок проведения кассовых операций. </w:t>
      </w:r>
    </w:p>
    <w:p w:rsidR="006553AE" w:rsidRDefault="006553AE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09" w:rsidRPr="000635B1" w:rsidRDefault="000635B1" w:rsidP="006553AE">
      <w:pPr>
        <w:pStyle w:val="1"/>
        <w:spacing w:before="0" w:line="360" w:lineRule="auto"/>
      </w:pPr>
      <w:r>
        <w:t>1.2. Н</w:t>
      </w:r>
      <w:r w:rsidR="003D6F09" w:rsidRPr="000635B1">
        <w:t>алогоплательщик</w:t>
      </w:r>
    </w:p>
    <w:p w:rsidR="003D6F09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F09" w:rsidRPr="000635B1">
        <w:rPr>
          <w:rFonts w:ascii="Times New Roman" w:hAnsi="Times New Roman" w:cs="Times New Roman"/>
          <w:sz w:val="28"/>
          <w:szCs w:val="28"/>
        </w:rPr>
        <w:t xml:space="preserve">Организации и индивидуальные предприниматели, перешедшие на упрощенную систему налогообложения, </w:t>
      </w:r>
      <w:r w:rsidR="006F2F0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D6F09" w:rsidRPr="000635B1">
        <w:rPr>
          <w:rFonts w:ascii="Times New Roman" w:hAnsi="Times New Roman" w:cs="Times New Roman"/>
          <w:sz w:val="28"/>
          <w:szCs w:val="28"/>
        </w:rPr>
        <w:t>признаются налогоплательщиками.</w:t>
      </w:r>
    </w:p>
    <w:p w:rsidR="000635B1" w:rsidRPr="000635B1" w:rsidRDefault="006C2C53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1818">
        <w:rPr>
          <w:rFonts w:ascii="Times New Roman" w:hAnsi="Times New Roman" w:cs="Times New Roman"/>
          <w:sz w:val="28"/>
          <w:szCs w:val="28"/>
        </w:rPr>
        <w:t>Рассмотрим критерии, по которым налогоплательщики имею право перейти на УСН:</w:t>
      </w:r>
      <w:r w:rsidR="003E1886">
        <w:rPr>
          <w:rFonts w:ascii="Times New Roman" w:hAnsi="Times New Roman" w:cs="Times New Roman"/>
          <w:sz w:val="28"/>
          <w:szCs w:val="28"/>
        </w:rPr>
        <w:t xml:space="preserve"> </w:t>
      </w:r>
      <w:r w:rsidR="005C1818" w:rsidRPr="003E1886">
        <w:rPr>
          <w:rFonts w:ascii="Times New Roman" w:hAnsi="Times New Roman" w:cs="Times New Roman"/>
          <w:sz w:val="28"/>
          <w:szCs w:val="28"/>
        </w:rPr>
        <w:t xml:space="preserve">Если организация по результатам девяти месяцев года, когда было подано заявление, доход не превысил размер 15 миллионов рублей. </w:t>
      </w:r>
      <w:r w:rsidR="005F4176">
        <w:rPr>
          <w:rFonts w:ascii="Times New Roman" w:hAnsi="Times New Roman" w:cs="Times New Roman"/>
          <w:sz w:val="28"/>
          <w:szCs w:val="28"/>
        </w:rPr>
        <w:t xml:space="preserve">Доход определяется в соответствии </w:t>
      </w:r>
      <w:proofErr w:type="gramStart"/>
      <w:r w:rsidR="005F41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4176">
        <w:rPr>
          <w:rFonts w:ascii="Times New Roman" w:hAnsi="Times New Roman" w:cs="Times New Roman"/>
          <w:sz w:val="28"/>
          <w:szCs w:val="28"/>
        </w:rPr>
        <w:t xml:space="preserve"> статьей 24</w:t>
      </w:r>
      <w:r w:rsidR="006D68E8">
        <w:rPr>
          <w:rFonts w:ascii="Times New Roman" w:hAnsi="Times New Roman" w:cs="Times New Roman"/>
          <w:sz w:val="28"/>
          <w:szCs w:val="28"/>
        </w:rPr>
        <w:t>9</w:t>
      </w:r>
      <w:r w:rsidR="005F4176">
        <w:rPr>
          <w:rFonts w:ascii="Times New Roman" w:hAnsi="Times New Roman" w:cs="Times New Roman"/>
          <w:sz w:val="28"/>
          <w:szCs w:val="28"/>
        </w:rPr>
        <w:t xml:space="preserve"> НК РФ.</w:t>
      </w:r>
      <w:r w:rsidR="006D68E8">
        <w:rPr>
          <w:rFonts w:ascii="Times New Roman" w:hAnsi="Times New Roman" w:cs="Times New Roman"/>
          <w:sz w:val="28"/>
          <w:szCs w:val="28"/>
        </w:rPr>
        <w:t xml:space="preserve"> </w:t>
      </w:r>
      <w:r w:rsidR="00181A69">
        <w:rPr>
          <w:rFonts w:ascii="Times New Roman" w:hAnsi="Times New Roman" w:cs="Times New Roman"/>
          <w:sz w:val="28"/>
          <w:szCs w:val="28"/>
        </w:rPr>
        <w:t xml:space="preserve">Величина  максимального дохода как правильно задекларирована и индексируется благодаря коэффициенту-дефлятору. </w:t>
      </w:r>
      <w:r w:rsidR="006D68E8" w:rsidRPr="00181A69">
        <w:rPr>
          <w:rFonts w:ascii="Times New Roman" w:hAnsi="Times New Roman" w:cs="Times New Roman"/>
          <w:sz w:val="28"/>
          <w:szCs w:val="28"/>
        </w:rPr>
        <w:t xml:space="preserve">За предыдущий календарный год, как правило, рассматривается динамика потребительских цен на товары </w:t>
      </w:r>
      <w:r w:rsidR="00181A69" w:rsidRPr="00181A69">
        <w:rPr>
          <w:rFonts w:ascii="Times New Roman" w:hAnsi="Times New Roman" w:cs="Times New Roman"/>
          <w:sz w:val="28"/>
          <w:szCs w:val="28"/>
        </w:rPr>
        <w:t>РФ, а также, ежегодно, на каждый последующий календарный год.</w:t>
      </w:r>
      <w:r w:rsidR="006D6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5B1" w:rsidRPr="000635B1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31D7">
        <w:rPr>
          <w:rFonts w:ascii="Times New Roman" w:hAnsi="Times New Roman" w:cs="Times New Roman"/>
          <w:sz w:val="28"/>
          <w:szCs w:val="28"/>
        </w:rPr>
        <w:t>Н</w:t>
      </w:r>
      <w:r w:rsidRPr="000635B1">
        <w:rPr>
          <w:rFonts w:ascii="Times New Roman" w:hAnsi="Times New Roman" w:cs="Times New Roman"/>
          <w:sz w:val="28"/>
          <w:szCs w:val="28"/>
        </w:rPr>
        <w:t>е разрешается использовать упрощенную систему налогообложения</w:t>
      </w:r>
      <w:r w:rsidR="005565B0">
        <w:rPr>
          <w:rFonts w:ascii="Times New Roman" w:hAnsi="Times New Roman" w:cs="Times New Roman"/>
          <w:sz w:val="28"/>
          <w:szCs w:val="28"/>
        </w:rPr>
        <w:t xml:space="preserve"> следующим контрагентам</w:t>
      </w:r>
      <w:r w:rsidR="00EA78D7">
        <w:rPr>
          <w:rFonts w:ascii="Times New Roman" w:hAnsi="Times New Roman" w:cs="Times New Roman"/>
          <w:sz w:val="28"/>
          <w:szCs w:val="28"/>
        </w:rPr>
        <w:t xml:space="preserve"> </w:t>
      </w:r>
      <w:r w:rsidR="00EA78D7" w:rsidRPr="00EA78D7">
        <w:rPr>
          <w:rFonts w:ascii="Times New Roman" w:hAnsi="Times New Roman" w:cs="Times New Roman"/>
          <w:sz w:val="28"/>
          <w:szCs w:val="28"/>
        </w:rPr>
        <w:t>[</w:t>
      </w:r>
      <w:r w:rsidR="00EA78D7">
        <w:rPr>
          <w:rFonts w:ascii="Times New Roman" w:hAnsi="Times New Roman" w:cs="Times New Roman"/>
          <w:sz w:val="28"/>
          <w:szCs w:val="28"/>
        </w:rPr>
        <w:t>3</w:t>
      </w:r>
      <w:r w:rsidR="00EA78D7" w:rsidRPr="00EA78D7">
        <w:rPr>
          <w:rFonts w:ascii="Times New Roman" w:hAnsi="Times New Roman" w:cs="Times New Roman"/>
          <w:sz w:val="28"/>
          <w:szCs w:val="28"/>
        </w:rPr>
        <w:t>]</w:t>
      </w:r>
      <w:r w:rsidRPr="000635B1">
        <w:rPr>
          <w:rFonts w:ascii="Times New Roman" w:hAnsi="Times New Roman" w:cs="Times New Roman"/>
          <w:sz w:val="28"/>
          <w:szCs w:val="28"/>
        </w:rPr>
        <w:t>:</w:t>
      </w:r>
    </w:p>
    <w:p w:rsidR="000635B1" w:rsidRPr="000635B1" w:rsidRDefault="00D531D7" w:rsidP="006553AE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</w:t>
      </w:r>
      <w:r w:rsidR="000635B1" w:rsidRPr="000635B1">
        <w:rPr>
          <w:rFonts w:ascii="Times New Roman" w:hAnsi="Times New Roman" w:cs="Times New Roman"/>
          <w:sz w:val="28"/>
          <w:szCs w:val="28"/>
        </w:rPr>
        <w:t xml:space="preserve"> с филиалами и (или) представительствами;</w:t>
      </w:r>
    </w:p>
    <w:p w:rsidR="000635B1" w:rsidRPr="000635B1" w:rsidRDefault="00D531D7" w:rsidP="006553AE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635B1" w:rsidRPr="000635B1"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635B1" w:rsidRPr="000635B1">
        <w:rPr>
          <w:rFonts w:ascii="Times New Roman" w:hAnsi="Times New Roman" w:cs="Times New Roman"/>
          <w:sz w:val="28"/>
          <w:szCs w:val="28"/>
        </w:rPr>
        <w:t>;</w:t>
      </w:r>
    </w:p>
    <w:p w:rsidR="000635B1" w:rsidRPr="000635B1" w:rsidRDefault="00D531D7" w:rsidP="006553AE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35B1" w:rsidRPr="000635B1">
        <w:rPr>
          <w:rFonts w:ascii="Times New Roman" w:hAnsi="Times New Roman" w:cs="Times New Roman"/>
          <w:sz w:val="28"/>
          <w:szCs w:val="28"/>
        </w:rPr>
        <w:t>траховщик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635B1" w:rsidRPr="000635B1">
        <w:rPr>
          <w:rFonts w:ascii="Times New Roman" w:hAnsi="Times New Roman" w:cs="Times New Roman"/>
          <w:sz w:val="28"/>
          <w:szCs w:val="28"/>
        </w:rPr>
        <w:t>;</w:t>
      </w:r>
    </w:p>
    <w:p w:rsidR="000635B1" w:rsidRPr="000635B1" w:rsidRDefault="00D531D7" w:rsidP="006553AE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35B1" w:rsidRPr="000635B1">
        <w:rPr>
          <w:rFonts w:ascii="Times New Roman" w:hAnsi="Times New Roman" w:cs="Times New Roman"/>
          <w:sz w:val="28"/>
          <w:szCs w:val="28"/>
        </w:rPr>
        <w:t>егосуда</w:t>
      </w:r>
      <w:r>
        <w:rPr>
          <w:rFonts w:ascii="Times New Roman" w:hAnsi="Times New Roman" w:cs="Times New Roman"/>
          <w:sz w:val="28"/>
          <w:szCs w:val="28"/>
        </w:rPr>
        <w:t>рственным пенсионным фондам</w:t>
      </w:r>
      <w:r w:rsidR="000635B1" w:rsidRPr="000635B1">
        <w:rPr>
          <w:rFonts w:ascii="Times New Roman" w:hAnsi="Times New Roman" w:cs="Times New Roman"/>
          <w:sz w:val="28"/>
          <w:szCs w:val="28"/>
        </w:rPr>
        <w:t>;</w:t>
      </w:r>
    </w:p>
    <w:p w:rsidR="000635B1" w:rsidRPr="000635B1" w:rsidRDefault="00D531D7" w:rsidP="006553AE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Паевым инвестиционным фондам</w:t>
      </w:r>
      <w:r w:rsidR="000635B1" w:rsidRPr="000635B1">
        <w:rPr>
          <w:rFonts w:ascii="Times New Roman" w:hAnsi="Times New Roman" w:cs="Times New Roman"/>
          <w:sz w:val="28"/>
          <w:szCs w:val="28"/>
        </w:rPr>
        <w:t>;</w:t>
      </w:r>
    </w:p>
    <w:p w:rsidR="000635B1" w:rsidRPr="000635B1" w:rsidRDefault="00D531D7" w:rsidP="006553AE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Профессиональным участникам</w:t>
      </w:r>
      <w:r w:rsidR="000635B1" w:rsidRPr="000635B1">
        <w:rPr>
          <w:rFonts w:ascii="Times New Roman" w:hAnsi="Times New Roman" w:cs="Times New Roman"/>
          <w:sz w:val="28"/>
          <w:szCs w:val="28"/>
        </w:rPr>
        <w:t xml:space="preserve"> рынка ценных бумаг;</w:t>
      </w:r>
    </w:p>
    <w:p w:rsidR="000635B1" w:rsidRPr="000635B1" w:rsidRDefault="00D531D7" w:rsidP="006553AE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Ломбардам</w:t>
      </w:r>
      <w:r w:rsidR="000635B1" w:rsidRPr="000635B1">
        <w:rPr>
          <w:rFonts w:ascii="Times New Roman" w:hAnsi="Times New Roman" w:cs="Times New Roman"/>
          <w:sz w:val="28"/>
          <w:szCs w:val="28"/>
        </w:rPr>
        <w:t>;</w:t>
      </w:r>
    </w:p>
    <w:p w:rsidR="000635B1" w:rsidRPr="000635B1" w:rsidRDefault="00D531D7" w:rsidP="006553AE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и индивидуальным предпринимателям, занимающимся</w:t>
      </w:r>
      <w:r w:rsidR="000635B1" w:rsidRPr="000635B1">
        <w:rPr>
          <w:rFonts w:ascii="Times New Roman" w:hAnsi="Times New Roman" w:cs="Times New Roman"/>
          <w:sz w:val="28"/>
          <w:szCs w:val="28"/>
        </w:rPr>
        <w:t xml:space="preserve"> производством подакцизных товаров, а также добычей и продажей полезных ископаемых;</w:t>
      </w:r>
    </w:p>
    <w:p w:rsidR="000635B1" w:rsidRPr="000635B1" w:rsidRDefault="00D531D7" w:rsidP="006553AE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занимающимся </w:t>
      </w:r>
      <w:r w:rsidR="000635B1" w:rsidRPr="000635B1">
        <w:rPr>
          <w:rFonts w:ascii="Times New Roman" w:hAnsi="Times New Roman" w:cs="Times New Roman"/>
          <w:sz w:val="28"/>
          <w:szCs w:val="28"/>
        </w:rPr>
        <w:t>игорным бизнесом;</w:t>
      </w:r>
    </w:p>
    <w:p w:rsidR="000635B1" w:rsidRPr="000635B1" w:rsidRDefault="00D531D7" w:rsidP="006553AE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Частным нотариусам, поверенным, учредившим юридические фирмы и другим юр.</w:t>
      </w:r>
      <w:r w:rsidR="000635B1" w:rsidRPr="000635B1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635B1" w:rsidRPr="000635B1">
        <w:rPr>
          <w:rFonts w:ascii="Times New Roman" w:hAnsi="Times New Roman" w:cs="Times New Roman"/>
          <w:sz w:val="28"/>
          <w:szCs w:val="28"/>
        </w:rPr>
        <w:t>;</w:t>
      </w:r>
    </w:p>
    <w:p w:rsidR="000635B1" w:rsidRPr="000635B1" w:rsidRDefault="00D531D7" w:rsidP="006553AE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и индивидуальным предпринимателям, будучи переведенными</w:t>
      </w:r>
      <w:r w:rsidR="000635B1" w:rsidRPr="000635B1">
        <w:rPr>
          <w:rFonts w:ascii="Times New Roman" w:hAnsi="Times New Roman" w:cs="Times New Roman"/>
          <w:sz w:val="28"/>
          <w:szCs w:val="28"/>
        </w:rPr>
        <w:t xml:space="preserve"> в систему налогообложения сельскохозяйственных производителей.</w:t>
      </w:r>
    </w:p>
    <w:p w:rsidR="000635B1" w:rsidRPr="000635B1" w:rsidRDefault="00D531D7" w:rsidP="006553AE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Организациям, которые являются участниками</w:t>
      </w:r>
      <w:r w:rsidR="000635B1" w:rsidRPr="000635B1">
        <w:rPr>
          <w:rFonts w:ascii="Times New Roman" w:hAnsi="Times New Roman" w:cs="Times New Roman"/>
          <w:sz w:val="28"/>
          <w:szCs w:val="28"/>
        </w:rPr>
        <w:t xml:space="preserve"> соглашений о разделе продукции;</w:t>
      </w:r>
    </w:p>
    <w:p w:rsidR="000635B1" w:rsidRPr="000635B1" w:rsidRDefault="00D531D7" w:rsidP="006553AE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</w:t>
      </w:r>
      <w:r w:rsidR="000635B1" w:rsidRPr="000635B1">
        <w:rPr>
          <w:rFonts w:ascii="Times New Roman" w:hAnsi="Times New Roman" w:cs="Times New Roman"/>
          <w:sz w:val="28"/>
          <w:szCs w:val="28"/>
        </w:rPr>
        <w:t>, в которых доля других организаций составляет более 25%;</w:t>
      </w:r>
    </w:p>
    <w:p w:rsidR="000635B1" w:rsidRPr="000635B1" w:rsidRDefault="000733F6" w:rsidP="006553AE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и индивидуальным предпринимателям</w:t>
      </w:r>
      <w:r w:rsidR="000635B1" w:rsidRPr="000635B1">
        <w:rPr>
          <w:rFonts w:ascii="Times New Roman" w:hAnsi="Times New Roman" w:cs="Times New Roman"/>
          <w:sz w:val="28"/>
          <w:szCs w:val="28"/>
        </w:rPr>
        <w:t xml:space="preserve">, среднесписочная численность которых в налоговом (отчетном) периоде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635B1" w:rsidRPr="000635B1">
        <w:rPr>
          <w:rFonts w:ascii="Times New Roman" w:hAnsi="Times New Roman" w:cs="Times New Roman"/>
          <w:sz w:val="28"/>
          <w:szCs w:val="28"/>
        </w:rPr>
        <w:t>100 человек;</w:t>
      </w:r>
    </w:p>
    <w:p w:rsidR="000635B1" w:rsidRPr="000635B1" w:rsidRDefault="000733F6" w:rsidP="006553AE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</w:t>
      </w:r>
      <w:r w:rsidR="000635B1" w:rsidRPr="000635B1">
        <w:rPr>
          <w:rFonts w:ascii="Times New Roman" w:hAnsi="Times New Roman" w:cs="Times New Roman"/>
          <w:sz w:val="28"/>
          <w:szCs w:val="28"/>
        </w:rPr>
        <w:t>, у которых остаточная стоимость основных средств и нематериальных активов, являющ</w:t>
      </w:r>
      <w:r>
        <w:rPr>
          <w:rFonts w:ascii="Times New Roman" w:hAnsi="Times New Roman" w:cs="Times New Roman"/>
          <w:sz w:val="28"/>
          <w:szCs w:val="28"/>
        </w:rPr>
        <w:t>ихся амортизируемыми, более 100 миллионов рублей.</w:t>
      </w:r>
    </w:p>
    <w:p w:rsidR="000635B1" w:rsidRPr="000635B1" w:rsidRDefault="00D531D7" w:rsidP="006553AE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733F6">
        <w:rPr>
          <w:rFonts w:ascii="Times New Roman" w:hAnsi="Times New Roman" w:cs="Times New Roman"/>
          <w:sz w:val="28"/>
          <w:szCs w:val="28"/>
        </w:rPr>
        <w:t>юджетным</w:t>
      </w:r>
      <w:r w:rsidR="000635B1" w:rsidRPr="000635B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733F6">
        <w:rPr>
          <w:rFonts w:ascii="Times New Roman" w:hAnsi="Times New Roman" w:cs="Times New Roman"/>
          <w:sz w:val="28"/>
          <w:szCs w:val="28"/>
        </w:rPr>
        <w:t>м</w:t>
      </w:r>
      <w:r w:rsidR="000635B1" w:rsidRPr="000635B1">
        <w:rPr>
          <w:rFonts w:ascii="Times New Roman" w:hAnsi="Times New Roman" w:cs="Times New Roman"/>
          <w:sz w:val="28"/>
          <w:szCs w:val="28"/>
        </w:rPr>
        <w:t>;</w:t>
      </w:r>
    </w:p>
    <w:p w:rsidR="000635B1" w:rsidRPr="000635B1" w:rsidRDefault="000733F6" w:rsidP="006553AE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Иностранным организациям, имеющим</w:t>
      </w:r>
      <w:r w:rsidR="000635B1" w:rsidRPr="000635B1">
        <w:rPr>
          <w:rFonts w:ascii="Times New Roman" w:hAnsi="Times New Roman" w:cs="Times New Roman"/>
          <w:sz w:val="28"/>
          <w:szCs w:val="28"/>
        </w:rPr>
        <w:t xml:space="preserve"> филиалы, представительства и другие обособленные подразделения на территории Российской Федерации.</w:t>
      </w:r>
    </w:p>
    <w:p w:rsidR="000635B1" w:rsidRPr="000635B1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5B1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предприниматели, которые должны платить единый налог на вмененный доход для определенных видов бизнеса в одном или нескольких видах бизнеса, имеют право применять упрощенную систему налогообложения к другим видам бизнеса, которые они осуществляют. При этом ограничения по количеству сотрудников и стоимости основных средств и нематериальных активов устанавливаются исходя из всей их деятельности.</w:t>
      </w:r>
    </w:p>
    <w:p w:rsidR="000C15F4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5B1">
        <w:rPr>
          <w:rFonts w:ascii="Times New Roman" w:hAnsi="Times New Roman" w:cs="Times New Roman"/>
          <w:sz w:val="28"/>
          <w:szCs w:val="28"/>
        </w:rPr>
        <w:t>Предметом налогообложения являются</w:t>
      </w:r>
      <w:r w:rsidR="000C15F4">
        <w:rPr>
          <w:rFonts w:ascii="Times New Roman" w:hAnsi="Times New Roman" w:cs="Times New Roman"/>
          <w:sz w:val="28"/>
          <w:szCs w:val="28"/>
        </w:rPr>
        <w:t>:</w:t>
      </w:r>
    </w:p>
    <w:p w:rsidR="000C15F4" w:rsidRDefault="000C15F4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д</w:t>
      </w:r>
      <w:r w:rsidR="000635B1" w:rsidRPr="000635B1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0C15F4" w:rsidRDefault="000C15F4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доходы,</w:t>
      </w:r>
      <w:r w:rsidR="000635B1" w:rsidRPr="000635B1">
        <w:rPr>
          <w:rFonts w:ascii="Times New Roman" w:hAnsi="Times New Roman" w:cs="Times New Roman"/>
          <w:sz w:val="28"/>
          <w:szCs w:val="28"/>
        </w:rPr>
        <w:t xml:space="preserve"> уменьше</w:t>
      </w:r>
      <w:r>
        <w:rPr>
          <w:rFonts w:ascii="Times New Roman" w:hAnsi="Times New Roman" w:cs="Times New Roman"/>
          <w:sz w:val="28"/>
          <w:szCs w:val="28"/>
        </w:rPr>
        <w:t xml:space="preserve">нные </w:t>
      </w:r>
      <w:r w:rsidR="000635B1" w:rsidRPr="000635B1">
        <w:rPr>
          <w:rFonts w:ascii="Times New Roman" w:hAnsi="Times New Roman" w:cs="Times New Roman"/>
          <w:sz w:val="28"/>
          <w:szCs w:val="28"/>
        </w:rPr>
        <w:t>на сумму расходов.</w:t>
      </w:r>
    </w:p>
    <w:p w:rsidR="000635B1" w:rsidRPr="000635B1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5B1">
        <w:rPr>
          <w:rFonts w:ascii="Times New Roman" w:hAnsi="Times New Roman" w:cs="Times New Roman"/>
          <w:sz w:val="28"/>
          <w:szCs w:val="28"/>
        </w:rPr>
        <w:t xml:space="preserve">Налогоплательщик </w:t>
      </w:r>
      <w:r w:rsidR="000C15F4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0635B1">
        <w:rPr>
          <w:rFonts w:ascii="Times New Roman" w:hAnsi="Times New Roman" w:cs="Times New Roman"/>
          <w:sz w:val="28"/>
          <w:szCs w:val="28"/>
        </w:rPr>
        <w:t>сам выбира</w:t>
      </w:r>
      <w:r w:rsidR="000C15F4">
        <w:rPr>
          <w:rFonts w:ascii="Times New Roman" w:hAnsi="Times New Roman" w:cs="Times New Roman"/>
          <w:sz w:val="28"/>
          <w:szCs w:val="28"/>
        </w:rPr>
        <w:t>ть</w:t>
      </w:r>
      <w:r w:rsidRPr="000635B1">
        <w:rPr>
          <w:rFonts w:ascii="Times New Roman" w:hAnsi="Times New Roman" w:cs="Times New Roman"/>
          <w:sz w:val="28"/>
          <w:szCs w:val="28"/>
        </w:rPr>
        <w:t xml:space="preserve"> объект налогообложения; налогоплательщики, являющиеся сторонами договора простого товарищества (соглашения о совместном предприятии) или договора доверительного </w:t>
      </w:r>
      <w:r w:rsidRPr="000635B1">
        <w:rPr>
          <w:rFonts w:ascii="Times New Roman" w:hAnsi="Times New Roman" w:cs="Times New Roman"/>
          <w:sz w:val="28"/>
          <w:szCs w:val="28"/>
        </w:rPr>
        <w:lastRenderedPageBreak/>
        <w:t>управления, используют доход, уменьшенный на сумму расходов, как объект налога.</w:t>
      </w:r>
    </w:p>
    <w:p w:rsidR="000635B1" w:rsidRPr="000635B1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5B1">
        <w:rPr>
          <w:rFonts w:ascii="Times New Roman" w:hAnsi="Times New Roman" w:cs="Times New Roman"/>
          <w:sz w:val="28"/>
          <w:szCs w:val="28"/>
        </w:rPr>
        <w:t>Объект налогообложения не может быть изменен через три года после начала применения упрощенной системы налогообложения.</w:t>
      </w:r>
    </w:p>
    <w:p w:rsidR="000635B1" w:rsidRPr="000635B1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5B1">
        <w:rPr>
          <w:rFonts w:ascii="Times New Roman" w:hAnsi="Times New Roman" w:cs="Times New Roman"/>
          <w:sz w:val="28"/>
          <w:szCs w:val="28"/>
        </w:rPr>
        <w:t>При определении объекта налогообложения учитываются следующие доходы:</w:t>
      </w:r>
    </w:p>
    <w:p w:rsidR="000635B1" w:rsidRPr="000635B1" w:rsidRDefault="000635B1" w:rsidP="006553AE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5B1">
        <w:rPr>
          <w:rFonts w:ascii="Times New Roman" w:hAnsi="Times New Roman" w:cs="Times New Roman"/>
          <w:sz w:val="28"/>
          <w:szCs w:val="28"/>
        </w:rPr>
        <w:t>Реализация</w:t>
      </w:r>
      <w:r w:rsidR="00BD45D4">
        <w:rPr>
          <w:rFonts w:ascii="Times New Roman" w:hAnsi="Times New Roman" w:cs="Times New Roman"/>
          <w:sz w:val="28"/>
          <w:szCs w:val="28"/>
        </w:rPr>
        <w:t>,</w:t>
      </w:r>
      <w:r w:rsidRPr="000635B1">
        <w:rPr>
          <w:rFonts w:ascii="Times New Roman" w:hAnsi="Times New Roman" w:cs="Times New Roman"/>
          <w:sz w:val="28"/>
          <w:szCs w:val="28"/>
        </w:rPr>
        <w:t xml:space="preserve"> в соответствии со статьей 249 Налогового кодекса Российской Федерации;</w:t>
      </w:r>
    </w:p>
    <w:p w:rsidR="000635B1" w:rsidRPr="000635B1" w:rsidRDefault="000635B1" w:rsidP="006553AE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5B1">
        <w:rPr>
          <w:rFonts w:ascii="Times New Roman" w:hAnsi="Times New Roman" w:cs="Times New Roman"/>
          <w:sz w:val="28"/>
          <w:szCs w:val="28"/>
        </w:rPr>
        <w:t>Нерабочий результат</w:t>
      </w:r>
      <w:r w:rsidR="00BD45D4">
        <w:rPr>
          <w:rFonts w:ascii="Times New Roman" w:hAnsi="Times New Roman" w:cs="Times New Roman"/>
          <w:sz w:val="28"/>
          <w:szCs w:val="28"/>
        </w:rPr>
        <w:t>,</w:t>
      </w:r>
      <w:r w:rsidRPr="000635B1">
        <w:rPr>
          <w:rFonts w:ascii="Times New Roman" w:hAnsi="Times New Roman" w:cs="Times New Roman"/>
          <w:sz w:val="28"/>
          <w:szCs w:val="28"/>
        </w:rPr>
        <w:t xml:space="preserve"> согласно ст. 250 Налогового кодекса РФ.</w:t>
      </w:r>
    </w:p>
    <w:p w:rsidR="000635B1" w:rsidRPr="000635B1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5B1">
        <w:rPr>
          <w:rFonts w:ascii="Times New Roman" w:hAnsi="Times New Roman" w:cs="Times New Roman"/>
          <w:sz w:val="28"/>
          <w:szCs w:val="28"/>
        </w:rPr>
        <w:t>При определении объекта налогообложения используются объекты, указанные в статье 252 Налогового кодекса Российской Федерации.</w:t>
      </w:r>
    </w:p>
    <w:p w:rsidR="00BE697B" w:rsidRDefault="000635B1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5B1">
        <w:rPr>
          <w:rFonts w:ascii="Times New Roman" w:hAnsi="Times New Roman" w:cs="Times New Roman"/>
          <w:sz w:val="28"/>
          <w:szCs w:val="28"/>
        </w:rPr>
        <w:t>Кроме того, доход в виде полученных дивидендов не включается в доход при налогообложении налоговым консультантом.</w:t>
      </w:r>
    </w:p>
    <w:p w:rsidR="00BE697B" w:rsidRDefault="00BE697B" w:rsidP="006553AE">
      <w:pPr>
        <w:spacing w:after="0" w:line="360" w:lineRule="auto"/>
      </w:pPr>
    </w:p>
    <w:p w:rsidR="00BE697B" w:rsidRPr="00BE697B" w:rsidRDefault="00BE697B" w:rsidP="006553AE">
      <w:pPr>
        <w:pStyle w:val="1"/>
        <w:spacing w:before="0" w:line="360" w:lineRule="auto"/>
      </w:pPr>
      <w:r w:rsidRPr="00BE697B">
        <w:t xml:space="preserve">1.3. Особенности расчета налоговой базы при переходе с общей системы налогообложения на </w:t>
      </w:r>
      <w:proofErr w:type="gramStart"/>
      <w:r w:rsidRPr="00BE697B">
        <w:t>упрощенную</w:t>
      </w:r>
      <w:proofErr w:type="gramEnd"/>
      <w:r w:rsidRPr="00BE697B">
        <w:t xml:space="preserve"> и наоборот.</w:t>
      </w:r>
    </w:p>
    <w:p w:rsidR="00BD45D4" w:rsidRDefault="00BE697B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77A" w:rsidRPr="00F8177A">
        <w:rPr>
          <w:rFonts w:ascii="Times New Roman" w:hAnsi="Times New Roman" w:cs="Times New Roman"/>
          <w:sz w:val="28"/>
          <w:szCs w:val="28"/>
        </w:rPr>
        <w:t xml:space="preserve">Организации, ранее использовавшие единую систему разграничения при переходе на упрощенную систему налогообложения, должны придерживаться </w:t>
      </w:r>
      <w:r w:rsidR="001E2DDC">
        <w:rPr>
          <w:rFonts w:ascii="Times New Roman" w:hAnsi="Times New Roman" w:cs="Times New Roman"/>
          <w:sz w:val="28"/>
          <w:szCs w:val="28"/>
        </w:rPr>
        <w:t>правил, представленных в таблице 1.</w:t>
      </w:r>
    </w:p>
    <w:p w:rsidR="001E2DDC" w:rsidRPr="00F8177A" w:rsidRDefault="001E2DDC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правила при переходе на УСН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D45D4" w:rsidRPr="00DF27C5" w:rsidTr="0032114C">
        <w:tc>
          <w:tcPr>
            <w:tcW w:w="2660" w:type="dxa"/>
          </w:tcPr>
          <w:p w:rsidR="00BD45D4" w:rsidRPr="00DF27C5" w:rsidRDefault="00BD45D4" w:rsidP="00F817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7C5">
              <w:rPr>
                <w:rFonts w:ascii="Times New Roman" w:hAnsi="Times New Roman" w:cs="Times New Roman"/>
                <w:sz w:val="24"/>
                <w:szCs w:val="28"/>
              </w:rPr>
              <w:t>Налоговая база</w:t>
            </w:r>
          </w:p>
        </w:tc>
        <w:tc>
          <w:tcPr>
            <w:tcW w:w="6911" w:type="dxa"/>
          </w:tcPr>
          <w:p w:rsidR="00BD45D4" w:rsidRPr="00DF27C5" w:rsidRDefault="00D82FFA" w:rsidP="00D82F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Здесь учитывается определенная сумма денег, которые были получены как платежи при УСН. В этих платежах на основе договора, заключенного до перехода на УСН. </w:t>
            </w:r>
          </w:p>
        </w:tc>
      </w:tr>
      <w:tr w:rsidR="00BD45D4" w:rsidRPr="00DF27C5" w:rsidTr="0032114C">
        <w:tc>
          <w:tcPr>
            <w:tcW w:w="2660" w:type="dxa"/>
          </w:tcPr>
          <w:p w:rsidR="00BD45D4" w:rsidRPr="00DF27C5" w:rsidRDefault="00BD45D4" w:rsidP="00F817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7C5">
              <w:rPr>
                <w:rFonts w:ascii="Times New Roman" w:hAnsi="Times New Roman" w:cs="Times New Roman"/>
                <w:sz w:val="24"/>
                <w:szCs w:val="28"/>
              </w:rPr>
              <w:t>Полученные средства</w:t>
            </w:r>
          </w:p>
        </w:tc>
        <w:tc>
          <w:tcPr>
            <w:tcW w:w="6911" w:type="dxa"/>
          </w:tcPr>
          <w:p w:rsidR="00BD45D4" w:rsidRPr="00DF27C5" w:rsidRDefault="00D82FFA" w:rsidP="00F817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Данные средства не относятся к налоговой базе при условии их соответствия определенным правилам расчета показателей, используемых при расчете баланса (налогового).</w:t>
            </w:r>
          </w:p>
        </w:tc>
      </w:tr>
      <w:tr w:rsidR="00BD45D4" w:rsidRPr="00DF27C5" w:rsidTr="0032114C">
        <w:tc>
          <w:tcPr>
            <w:tcW w:w="2660" w:type="dxa"/>
          </w:tcPr>
          <w:p w:rsidR="00BD45D4" w:rsidRPr="00DF27C5" w:rsidRDefault="00BD45D4" w:rsidP="00F817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7C5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</w:p>
        </w:tc>
        <w:tc>
          <w:tcPr>
            <w:tcW w:w="6911" w:type="dxa"/>
          </w:tcPr>
          <w:p w:rsidR="00BD45D4" w:rsidRPr="00DF27C5" w:rsidRDefault="00FC189B" w:rsidP="00F817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расходы денежные средства берутся из налоговой базы, при условии, что они были по факту уплачены до использования  УСН или непосредственно в сам момент. Оплата производиться после перехода на УСН.</w:t>
            </w:r>
          </w:p>
        </w:tc>
      </w:tr>
      <w:tr w:rsidR="00BD45D4" w:rsidRPr="00DF27C5" w:rsidTr="0032114C">
        <w:tc>
          <w:tcPr>
            <w:tcW w:w="2660" w:type="dxa"/>
          </w:tcPr>
          <w:p w:rsidR="00BD45D4" w:rsidRPr="00DF27C5" w:rsidRDefault="005D6E04" w:rsidP="00F817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Оплата</w:t>
            </w:r>
          </w:p>
        </w:tc>
        <w:tc>
          <w:tcPr>
            <w:tcW w:w="6911" w:type="dxa"/>
          </w:tcPr>
          <w:p w:rsidR="00FC189B" w:rsidRPr="00DF27C5" w:rsidRDefault="00FC189B" w:rsidP="00F817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Если до того, как организация или ИП перешла на УСН уже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была произведена оплата, то она уже не будет уменьшать налоговую базу после перехода. Это объясняет корпоративный подоходный налог, описанный в ст. 25 НК РФ.</w:t>
            </w:r>
          </w:p>
        </w:tc>
      </w:tr>
    </w:tbl>
    <w:p w:rsidR="00F8177A" w:rsidRDefault="00BE697B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8177A" w:rsidRPr="00890011">
        <w:rPr>
          <w:rFonts w:ascii="Times New Roman" w:hAnsi="Times New Roman" w:cs="Times New Roman"/>
          <w:sz w:val="28"/>
          <w:szCs w:val="28"/>
        </w:rPr>
        <w:t>Организации, использующие упрощенную систему налогообложения, придерживаются следующих правил при исчислении налоговой базы по налогу на прибыль по методу начисления:</w:t>
      </w:r>
    </w:p>
    <w:p w:rsidR="00382549" w:rsidRPr="00890011" w:rsidRDefault="00382549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90011">
        <w:rPr>
          <w:rFonts w:ascii="Times New Roman" w:hAnsi="Times New Roman" w:cs="Times New Roman"/>
          <w:sz w:val="28"/>
          <w:szCs w:val="28"/>
        </w:rPr>
        <w:t>Доходами признаются такие платежи, которые получают в результате экономической деятельности.</w:t>
      </w:r>
    </w:p>
    <w:p w:rsidR="00F8177A" w:rsidRPr="00534C92" w:rsidRDefault="00F8177A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1">
        <w:rPr>
          <w:rFonts w:ascii="Times New Roman" w:hAnsi="Times New Roman" w:cs="Times New Roman"/>
          <w:sz w:val="28"/>
          <w:szCs w:val="28"/>
        </w:rPr>
        <w:t xml:space="preserve">2. </w:t>
      </w:r>
      <w:r w:rsidR="00890011" w:rsidRPr="00890011">
        <w:rPr>
          <w:rFonts w:ascii="Times New Roman" w:hAnsi="Times New Roman" w:cs="Times New Roman"/>
          <w:sz w:val="28"/>
          <w:szCs w:val="28"/>
        </w:rPr>
        <w:t>Признаются расходами такие платежи, которые совершает налогоплательщик, так</w:t>
      </w:r>
      <w:r w:rsidR="00890011">
        <w:rPr>
          <w:rFonts w:ascii="Times New Roman" w:hAnsi="Times New Roman" w:cs="Times New Roman"/>
          <w:sz w:val="28"/>
          <w:szCs w:val="28"/>
        </w:rPr>
        <w:t xml:space="preserve"> называемые погашаемые долговые обязательства, как платежи за приобретение различных товаров, за пользование услугами, за </w:t>
      </w:r>
      <w:r w:rsidR="00890011" w:rsidRPr="00534C92">
        <w:rPr>
          <w:rFonts w:ascii="Times New Roman" w:hAnsi="Times New Roman" w:cs="Times New Roman"/>
          <w:sz w:val="28"/>
          <w:szCs w:val="28"/>
        </w:rPr>
        <w:t>произведенные работы. Все это во время использования УСН.</w:t>
      </w:r>
    </w:p>
    <w:p w:rsidR="007F6803" w:rsidRPr="00783B5A" w:rsidRDefault="00534C92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92">
        <w:rPr>
          <w:rFonts w:ascii="Times New Roman" w:hAnsi="Times New Roman" w:cs="Times New Roman"/>
          <w:sz w:val="28"/>
          <w:szCs w:val="28"/>
        </w:rPr>
        <w:t>Для налога на прибыль доходы</w:t>
      </w:r>
      <w:r w:rsidR="009C6C5D">
        <w:rPr>
          <w:rFonts w:ascii="Times New Roman" w:hAnsi="Times New Roman" w:cs="Times New Roman"/>
          <w:sz w:val="28"/>
          <w:szCs w:val="28"/>
        </w:rPr>
        <w:t>,</w:t>
      </w:r>
      <w:r w:rsidRPr="00534C92">
        <w:rPr>
          <w:rFonts w:ascii="Times New Roman" w:hAnsi="Times New Roman" w:cs="Times New Roman"/>
          <w:sz w:val="28"/>
          <w:szCs w:val="28"/>
        </w:rPr>
        <w:t xml:space="preserve"> как и расходы</w:t>
      </w:r>
      <w:r w:rsidR="009C6C5D">
        <w:rPr>
          <w:rFonts w:ascii="Times New Roman" w:hAnsi="Times New Roman" w:cs="Times New Roman"/>
          <w:sz w:val="28"/>
          <w:szCs w:val="28"/>
        </w:rPr>
        <w:t>,</w:t>
      </w:r>
      <w:r w:rsidRPr="00534C92">
        <w:rPr>
          <w:rFonts w:ascii="Times New Roman" w:hAnsi="Times New Roman" w:cs="Times New Roman"/>
          <w:sz w:val="28"/>
          <w:szCs w:val="28"/>
        </w:rPr>
        <w:t xml:space="preserve"> обязательно признаются в том </w:t>
      </w:r>
      <w:r w:rsidRPr="00783B5A">
        <w:rPr>
          <w:rFonts w:ascii="Times New Roman" w:hAnsi="Times New Roman" w:cs="Times New Roman"/>
          <w:sz w:val="28"/>
          <w:szCs w:val="28"/>
        </w:rPr>
        <w:t xml:space="preserve">периоде, в котором они были получены. </w:t>
      </w:r>
    </w:p>
    <w:p w:rsidR="00F8177A" w:rsidRPr="00783B5A" w:rsidRDefault="00F8177A" w:rsidP="00655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B5A">
        <w:rPr>
          <w:rFonts w:ascii="Times New Roman" w:hAnsi="Times New Roman" w:cs="Times New Roman"/>
          <w:sz w:val="28"/>
          <w:szCs w:val="28"/>
        </w:rPr>
        <w:t>Когда предприятие переходит на «договорный» налоговый режим, остаточная стоимость приобретенных (построенных, изготовленных) основных средств и приобретенных (самостоятельно созданных) нематериальных активов, за которые были ранее оплачены, будет признана в налоговом балансе по время перехода. Примирение к упрощенной системе налогообложения в виде разницы между покупной ценой (строительство, изготовление, создание самой организацией) и суммой начисленной амортизации в соответствии с требованиями главы 25 Налогового кодекса Российской Федерации</w:t>
      </w:r>
      <w:r w:rsidR="001621BF" w:rsidRPr="001621BF">
        <w:rPr>
          <w:rFonts w:ascii="Times New Roman" w:hAnsi="Times New Roman" w:cs="Times New Roman"/>
          <w:sz w:val="28"/>
          <w:szCs w:val="28"/>
        </w:rPr>
        <w:t xml:space="preserve"> [4]</w:t>
      </w:r>
      <w:r w:rsidRPr="00783B5A">
        <w:rPr>
          <w:rFonts w:ascii="Times New Roman" w:hAnsi="Times New Roman" w:cs="Times New Roman"/>
          <w:sz w:val="28"/>
          <w:szCs w:val="28"/>
        </w:rPr>
        <w:t>.</w:t>
      </w:r>
    </w:p>
    <w:p w:rsidR="00E006E9" w:rsidRDefault="00F8177A" w:rsidP="00655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B5A">
        <w:rPr>
          <w:rFonts w:ascii="Times New Roman" w:hAnsi="Times New Roman" w:cs="Times New Roman"/>
          <w:sz w:val="28"/>
          <w:szCs w:val="28"/>
        </w:rPr>
        <w:t>При переходе на упрощенную систему налогообложения для организации, применяющей систему налогообложения сельскохозяйственных товаропроизводителей (единый сельскохозяйственный налог), остаточная стоимость приобретенных (построенных, изготовленных) основных средств и приобретенных нематериальных активов (созданных самой организацией) равна к уплаченной сумме</w:t>
      </w:r>
      <w:proofErr w:type="gramStart"/>
      <w:r w:rsidRPr="00783B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3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B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3B5A">
        <w:rPr>
          <w:rFonts w:ascii="Times New Roman" w:hAnsi="Times New Roman" w:cs="Times New Roman"/>
          <w:sz w:val="28"/>
          <w:szCs w:val="28"/>
        </w:rPr>
        <w:t xml:space="preserve">ри переходе на налоговый баланс применяется </w:t>
      </w:r>
      <w:r w:rsidRPr="00783B5A">
        <w:rPr>
          <w:rFonts w:ascii="Times New Roman" w:hAnsi="Times New Roman" w:cs="Times New Roman"/>
          <w:sz w:val="28"/>
          <w:szCs w:val="28"/>
        </w:rPr>
        <w:lastRenderedPageBreak/>
        <w:t>упрощенная система налогообложения,</w:t>
      </w:r>
      <w:r w:rsidRPr="00783B5A">
        <w:t xml:space="preserve"> </w:t>
      </w:r>
      <w:r w:rsidRPr="00783B5A">
        <w:rPr>
          <w:rFonts w:ascii="Times New Roman" w:hAnsi="Times New Roman" w:cs="Times New Roman"/>
          <w:sz w:val="28"/>
          <w:szCs w:val="28"/>
        </w:rPr>
        <w:t>разница между ценой приобретения (строительства, изготовления, создания самой организацией) основных средств и нематериальных активов и суммой амортизации, начисленной в порядке, установленном законодательством Российской Федерации о бухгалтерском учете, за период применения система налогообложения в виде единого налога на вмененный доход по отдельным видам деятельности</w:t>
      </w:r>
      <w:r w:rsidR="00A51B05">
        <w:rPr>
          <w:rFonts w:ascii="Times New Roman" w:hAnsi="Times New Roman" w:cs="Times New Roman"/>
          <w:sz w:val="28"/>
          <w:szCs w:val="28"/>
        </w:rPr>
        <w:t xml:space="preserve"> </w:t>
      </w:r>
      <w:r w:rsidR="00A51B05" w:rsidRPr="00A51B05">
        <w:rPr>
          <w:rFonts w:ascii="Times New Roman" w:hAnsi="Times New Roman" w:cs="Times New Roman"/>
          <w:sz w:val="28"/>
          <w:szCs w:val="28"/>
        </w:rPr>
        <w:t>[5]</w:t>
      </w:r>
      <w:r w:rsidR="00CA352E" w:rsidRPr="00783B5A">
        <w:rPr>
          <w:rFonts w:ascii="Times New Roman" w:hAnsi="Times New Roman" w:cs="Times New Roman"/>
          <w:sz w:val="28"/>
          <w:szCs w:val="28"/>
        </w:rPr>
        <w:t>.</w:t>
      </w:r>
    </w:p>
    <w:p w:rsidR="00D708CA" w:rsidRDefault="00D708CA" w:rsidP="006553AE">
      <w:pPr>
        <w:pStyle w:val="1"/>
        <w:spacing w:before="0" w:line="360" w:lineRule="auto"/>
        <w:ind w:left="360"/>
        <w:rPr>
          <w:rFonts w:eastAsiaTheme="minorHAnsi" w:cs="Times New Roman"/>
          <w:bCs w:val="0"/>
        </w:rPr>
      </w:pPr>
      <w:r>
        <w:rPr>
          <w:rFonts w:eastAsiaTheme="minorHAnsi" w:cs="Times New Roman"/>
          <w:bCs w:val="0"/>
        </w:rPr>
        <w:br w:type="page"/>
      </w:r>
    </w:p>
    <w:p w:rsidR="006B7C86" w:rsidRPr="006B7C86" w:rsidRDefault="00E006E9" w:rsidP="006553AE">
      <w:pPr>
        <w:pStyle w:val="1"/>
        <w:spacing w:before="0" w:line="360" w:lineRule="auto"/>
        <w:ind w:left="360"/>
        <w:rPr>
          <w:rFonts w:cs="Times New Roman"/>
        </w:rPr>
      </w:pPr>
      <w:bookmarkStart w:id="0" w:name="_GoBack"/>
      <w:bookmarkEnd w:id="0"/>
      <w:r>
        <w:lastRenderedPageBreak/>
        <w:t>2</w:t>
      </w:r>
      <w:r w:rsidRPr="006B7C86">
        <w:rPr>
          <w:rFonts w:cs="Times New Roman"/>
        </w:rPr>
        <w:t>.</w:t>
      </w:r>
      <w:r w:rsidR="006B7C86" w:rsidRPr="006B7C86">
        <w:t xml:space="preserve"> </w:t>
      </w:r>
      <w:r w:rsidR="006B7C86" w:rsidRPr="006B7C86">
        <w:rPr>
          <w:rFonts w:cs="Times New Roman"/>
        </w:rPr>
        <w:t>Анализ применения упрощенной системы налогообложения в РФ</w:t>
      </w:r>
    </w:p>
    <w:p w:rsidR="006B7C86" w:rsidRPr="00C30839" w:rsidRDefault="006B7C86" w:rsidP="006553AE">
      <w:pPr>
        <w:pStyle w:val="1"/>
        <w:spacing w:before="0" w:line="360" w:lineRule="auto"/>
        <w:ind w:left="360"/>
        <w:rPr>
          <w:rFonts w:cs="Times New Roman"/>
        </w:rPr>
      </w:pPr>
      <w:r w:rsidRPr="006B7C86">
        <w:rPr>
          <w:rFonts w:cs="Times New Roman"/>
        </w:rPr>
        <w:t>2.1 Анализ количества и структуры налогоплательщиков, применяющих У</w:t>
      </w:r>
      <w:r w:rsidR="00C30839">
        <w:rPr>
          <w:rFonts w:cs="Times New Roman"/>
        </w:rPr>
        <w:t xml:space="preserve">прощенную </w:t>
      </w:r>
      <w:r w:rsidRPr="006B7C86">
        <w:rPr>
          <w:rFonts w:cs="Times New Roman"/>
        </w:rPr>
        <w:t>С</w:t>
      </w:r>
      <w:r w:rsidR="00C30839">
        <w:rPr>
          <w:rFonts w:cs="Times New Roman"/>
        </w:rPr>
        <w:t xml:space="preserve">истему </w:t>
      </w:r>
      <w:r w:rsidRPr="006B7C86">
        <w:rPr>
          <w:rFonts w:cs="Times New Roman"/>
        </w:rPr>
        <w:t>Н</w:t>
      </w:r>
      <w:r w:rsidR="00C30839">
        <w:rPr>
          <w:rFonts w:cs="Times New Roman"/>
        </w:rPr>
        <w:t>алогообложения</w:t>
      </w:r>
    </w:p>
    <w:p w:rsidR="006B7C86" w:rsidRDefault="006B7C86" w:rsidP="006553AE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B7C86">
        <w:rPr>
          <w:rFonts w:ascii="Times New Roman" w:eastAsia="Batang" w:hAnsi="Times New Roman" w:cs="Times New Roman"/>
          <w:sz w:val="28"/>
          <w:szCs w:val="28"/>
          <w:lang w:eastAsia="ko-KR"/>
        </w:rPr>
        <w:t>Проанализируем количество и структуру налогоплательщиков, применяющих УСН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6B7C86" w:rsidRPr="00A51B05" w:rsidRDefault="006B7C86" w:rsidP="006553AE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B7C8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Таблица </w:t>
      </w:r>
      <w:r w:rsidR="001E2DD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 – </w:t>
      </w:r>
      <w:r w:rsidRPr="006B7C86">
        <w:rPr>
          <w:rFonts w:ascii="Times New Roman" w:eastAsia="Batang" w:hAnsi="Times New Roman" w:cs="Times New Roman"/>
          <w:sz w:val="28"/>
          <w:szCs w:val="28"/>
          <w:lang w:eastAsia="ko-KR"/>
        </w:rPr>
        <w:t>Количество налогоплательщ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иков, применяющих УСН в РФ </w:t>
      </w:r>
      <w:r w:rsidR="00A51B05" w:rsidRPr="00A51B05">
        <w:rPr>
          <w:rFonts w:ascii="Times New Roman" w:eastAsia="Batang" w:hAnsi="Times New Roman" w:cs="Times New Roman"/>
          <w:sz w:val="28"/>
          <w:szCs w:val="28"/>
          <w:lang w:eastAsia="ko-KR"/>
        </w:rPr>
        <w:t>[6]</w:t>
      </w:r>
    </w:p>
    <w:tbl>
      <w:tblPr>
        <w:tblW w:w="8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960"/>
        <w:gridCol w:w="1000"/>
        <w:gridCol w:w="1000"/>
        <w:gridCol w:w="1000"/>
        <w:gridCol w:w="1000"/>
      </w:tblGrid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C31C5D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 xml:space="preserve">Показатель / </w:t>
            </w:r>
            <w:r w:rsidR="006B7C86" w:rsidRPr="00C30839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>Период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>2016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>2017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>2018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>2020</w:t>
            </w:r>
          </w:p>
        </w:tc>
      </w:tr>
      <w:tr w:rsidR="006B7C86" w:rsidRPr="00C30839" w:rsidTr="009A036B">
        <w:trPr>
          <w:trHeight w:val="28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066C0F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>Всего н</w:t>
            </w:r>
            <w:r w:rsidR="00066C0F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>/о</w:t>
            </w:r>
            <w:r w:rsidRPr="00C30839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 xml:space="preserve"> (тыс</w:t>
            </w:r>
            <w:r w:rsidR="00066C0F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830,1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1 059,0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1 341,4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1 602,1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1 804,3 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9636D8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>Процент</w:t>
            </w:r>
            <w:r w:rsidR="006B7C86"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к </w:t>
            </w:r>
            <w:r w:rsidR="00066C0F"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предыдущему</w:t>
            </w:r>
            <w:r w:rsidR="006B7C86"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120,0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127,6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126,7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119,4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112,6 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в том числе</w:t>
            </w:r>
            <w:r w:rsidR="00066C0F">
              <w:rPr>
                <w:rFonts w:ascii="Times New Roman" w:eastAsia="SimSun" w:hAnsi="Times New Roman" w:cs="Times New Roman"/>
                <w:szCs w:val="20"/>
                <w:lang w:eastAsia="zh-CN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 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066C0F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объект</w:t>
            </w:r>
            <w:r w:rsidR="00066C0F">
              <w:rPr>
                <w:rFonts w:ascii="Times New Roman" w:eastAsia="SimSun" w:hAnsi="Times New Roman" w:cs="Times New Roman"/>
                <w:szCs w:val="20"/>
                <w:lang w:eastAsia="zh-CN"/>
              </w:rPr>
              <w:t>ом</w:t>
            </w: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</w:t>
            </w:r>
            <w:r w:rsidR="00066C0F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являются </w:t>
            </w: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доходы (тыс.)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528,3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655,2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832,9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1 002,1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1 124,5 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9636D8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63,6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61,9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62,1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62,5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62,3 </w:t>
            </w:r>
          </w:p>
        </w:tc>
      </w:tr>
      <w:tr w:rsidR="006B7C86" w:rsidRPr="00C30839" w:rsidTr="009A036B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066C0F" w:rsidP="00066C0F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О</w:t>
            </w:r>
            <w:r w:rsidR="006B7C86"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бъект</w:t>
            </w: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ом являются </w:t>
            </w:r>
            <w:r w:rsidR="006B7C86"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доходы минус расходы (тыс.)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301,8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403,8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508,5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600,0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679,8 </w:t>
            </w:r>
          </w:p>
        </w:tc>
      </w:tr>
      <w:tr w:rsidR="006B7C86" w:rsidRPr="00C30839" w:rsidTr="009A036B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9636D8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36,4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38,1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37,9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37,5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37,7 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>организации (тыс.)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364,2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491,2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648,0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773,4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823,0 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9636D8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>Процент</w:t>
            </w:r>
            <w:r w:rsidR="006B7C86"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144,2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134,9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131,9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119,4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106,4 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 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066C0F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объект</w:t>
            </w: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>ом</w:t>
            </w: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являются </w:t>
            </w: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доходы (тыс.)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182,0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240,4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316,2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372,8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402,4 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9636D8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50,0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48,9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48,8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48,2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48,9 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066C0F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Объект</w:t>
            </w: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ом являются </w:t>
            </w: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доходы минус расходы (тыс.)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182,2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250,8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331,8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400,6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420,6 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9636D8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50,0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51,1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51,2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51,8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51,1 </w:t>
            </w:r>
          </w:p>
        </w:tc>
      </w:tr>
      <w:tr w:rsidR="006B7C86" w:rsidRPr="00C30839" w:rsidTr="009A036B">
        <w:trPr>
          <w:trHeight w:val="51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>индивидуальные предприниматели (тыс.)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465,9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567,8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693,4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828,7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981,3 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9636D8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>Процент</w:t>
            </w:r>
            <w:r w:rsidR="006B7C86"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106,1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121,9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122,1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119,5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118,4 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 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066C0F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объект</w:t>
            </w: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>ом</w:t>
            </w: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являются </w:t>
            </w: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доходы (тыс.)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346,3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420,9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516,7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622,1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744,1 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9636D8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74,3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74,1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74,5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75,1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75,8 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066C0F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Объект</w:t>
            </w: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ом являются </w:t>
            </w: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доходы минус расходы (тыс.)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119,6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146,9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176,7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206,6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237,2 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9636D8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25,7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25,9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25,5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24,9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B7C86" w:rsidRPr="00C30839" w:rsidRDefault="006B7C86" w:rsidP="006B7C86">
            <w:pPr>
              <w:spacing w:after="0" w:line="36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24,2 </w:t>
            </w:r>
          </w:p>
        </w:tc>
      </w:tr>
    </w:tbl>
    <w:p w:rsidR="006B7C86" w:rsidRPr="006B7C86" w:rsidRDefault="006B7C86" w:rsidP="006B7C86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92DB0" w:rsidRDefault="00F8177A" w:rsidP="006553AE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" w:name="_Toc246722267"/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Из таблицы</w:t>
      </w:r>
      <w:r w:rsidRPr="00F817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1E2DDC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F817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видно, что количество налогоплательщиков, пользующихся упрощенной системой налогообложения, с каждым годом растет, это характерно как для организаций, так и для индивидуальных предпринимателей. Но темпы роста за последние два года замедлились. Это связано с установленным лимитом дохода в УСН в размере 20 млн</w:t>
      </w:r>
      <w:r w:rsidR="001E2DDC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Pr="00F817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руб. в год с учетом коэффициента дефлятора, а также в неблагоприятных экономических условиях в 2019-2020 гг.</w:t>
      </w:r>
    </w:p>
    <w:p w:rsidR="00F8177A" w:rsidRPr="00F8177A" w:rsidRDefault="00F8177A" w:rsidP="006553AE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8177A">
        <w:rPr>
          <w:rFonts w:ascii="Times New Roman" w:eastAsiaTheme="majorEastAsia" w:hAnsi="Times New Roman" w:cs="Times New Roman"/>
          <w:bCs/>
          <w:sz w:val="28"/>
          <w:szCs w:val="28"/>
        </w:rPr>
        <w:t>Если оценивать структуру налогоплательщиков, то в ней преобладают индивидуальные предприниматели. Это подтверждает тот факт, что малый бизнес в России развит недостаточно, потому что основную его часть должны составлять индивидуальные предприниматели с меньшей оборачиваемостью сре</w:t>
      </w:r>
      <w:proofErr w:type="gramStart"/>
      <w:r w:rsidRPr="00F8177A">
        <w:rPr>
          <w:rFonts w:ascii="Times New Roman" w:eastAsiaTheme="majorEastAsia" w:hAnsi="Times New Roman" w:cs="Times New Roman"/>
          <w:bCs/>
          <w:sz w:val="28"/>
          <w:szCs w:val="28"/>
        </w:rPr>
        <w:t>дств в г</w:t>
      </w:r>
      <w:proofErr w:type="gramEnd"/>
      <w:r w:rsidRPr="00F8177A">
        <w:rPr>
          <w:rFonts w:ascii="Times New Roman" w:eastAsiaTheme="majorEastAsia" w:hAnsi="Times New Roman" w:cs="Times New Roman"/>
          <w:bCs/>
          <w:sz w:val="28"/>
          <w:szCs w:val="28"/>
        </w:rPr>
        <w:t>од, а не организации.</w:t>
      </w:r>
    </w:p>
    <w:p w:rsidR="00CD0724" w:rsidRDefault="00327433" w:rsidP="006553AE">
      <w:pPr>
        <w:spacing w:after="0" w:line="360" w:lineRule="auto"/>
        <w:ind w:firstLine="709"/>
        <w:jc w:val="both"/>
        <w:rPr>
          <w:noProof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Также из таблицы</w:t>
      </w:r>
      <w:r w:rsidR="00F8177A" w:rsidRPr="00F817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1E2DDC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="00F8177A" w:rsidRPr="00F817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можно отметить, что организации одинаково выбирают в качестве объекта </w:t>
      </w:r>
      <w:proofErr w:type="gramStart"/>
      <w:r w:rsidR="00F8177A" w:rsidRPr="00F8177A">
        <w:rPr>
          <w:rFonts w:ascii="Times New Roman" w:eastAsiaTheme="majorEastAsia" w:hAnsi="Times New Roman" w:cs="Times New Roman"/>
          <w:bCs/>
          <w:sz w:val="28"/>
          <w:szCs w:val="28"/>
        </w:rPr>
        <w:t>налогообложения</w:t>
      </w:r>
      <w:proofErr w:type="gramEnd"/>
      <w:r w:rsidR="00F8177A" w:rsidRPr="00F817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как доход, так и прибыль, уменьшенную на сумму расходов. Тогда как индивидуальные предприниматели в 75% случаев выбрали доход в качестве объекта налогообложения сроком на 5 лет. Это связано с тем, что индивидуальные предприниматели, выбрав доход, ведут учет доходов только для расчета налоговой базы в книге доходов и расходов. Таким образом, они не обременяют себя бухгалтерской отчетностью и не тратят дополнительные деньги на содержание бухгалтера.</w:t>
      </w:r>
      <w:r w:rsidR="006F6C09" w:rsidRPr="006F6C09">
        <w:rPr>
          <w:noProof/>
          <w:lang w:eastAsia="ru-RU"/>
        </w:rPr>
        <w:t xml:space="preserve"> </w:t>
      </w:r>
    </w:p>
    <w:p w:rsidR="006F6C09" w:rsidRDefault="006F6C09" w:rsidP="00CD0724">
      <w:pPr>
        <w:spacing w:line="360" w:lineRule="auto"/>
        <w:ind w:firstLine="708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24AD602" wp14:editId="4C00EE88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6C09" w:rsidRDefault="006F6C09" w:rsidP="006F6C09">
      <w:pPr>
        <w:spacing w:after="0" w:line="360" w:lineRule="auto"/>
        <w:ind w:firstLine="709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Рисунок</w:t>
      </w:r>
      <w:r w:rsidR="008A4C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1 – Динамика объектов налогообложения доходы, доходы минус расходы</w:t>
      </w:r>
      <w:r w:rsidR="00EA6EB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из всех налогоплательщиков</w:t>
      </w:r>
    </w:p>
    <w:p w:rsidR="006F6C09" w:rsidRDefault="006F6C09" w:rsidP="006F6C09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Из рисунка 1 видно, что величина доходов превышает величину доходов, за вычетом расходов на протяжении 5 лет. Величина доходов с 2016 по 2020 снизилась  на 1,</w:t>
      </w:r>
      <w:r w:rsidR="00EA6EB9">
        <w:rPr>
          <w:rFonts w:ascii="Times New Roman" w:eastAsiaTheme="majorEastAsia" w:hAnsi="Times New Roman" w:cs="Times New Roman"/>
          <w:bCs/>
          <w:sz w:val="28"/>
          <w:szCs w:val="28"/>
        </w:rPr>
        <w:t xml:space="preserve">3%.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величина доходов, уменьшенных на величину расходов</w:t>
      </w:r>
      <w:r w:rsidR="00CD0724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растет, с 2016 по 2020 год показатель увеличился </w:t>
      </w:r>
      <w:proofErr w:type="gramStart"/>
      <w:r>
        <w:rPr>
          <w:rFonts w:ascii="Times New Roman" w:eastAsiaTheme="majorEastAsia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1,3</w:t>
      </w:r>
      <w:r w:rsidR="00EA6EB9">
        <w:rPr>
          <w:rFonts w:ascii="Times New Roman" w:eastAsiaTheme="majorEastAsia" w:hAnsi="Times New Roman" w:cs="Times New Roman"/>
          <w:bCs/>
          <w:sz w:val="28"/>
          <w:szCs w:val="28"/>
        </w:rPr>
        <w:t>%.</w:t>
      </w:r>
    </w:p>
    <w:p w:rsidR="008A4CA8" w:rsidRDefault="00EA6EB9" w:rsidP="00EA6EB9">
      <w:pPr>
        <w:spacing w:after="0" w:line="360" w:lineRule="auto"/>
        <w:ind w:firstLine="709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CBAF25" wp14:editId="530B132E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EB9" w:rsidRDefault="00EA6EB9" w:rsidP="00EA6EB9">
      <w:pPr>
        <w:spacing w:after="0" w:line="360" w:lineRule="auto"/>
        <w:ind w:firstLine="709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Рисунок 2  – Динамика объектов налогообложения доходы, доходы минус расходы из индивидуальных предпринимателей</w:t>
      </w:r>
    </w:p>
    <w:p w:rsidR="00EA6EB9" w:rsidRDefault="00EA6EB9" w:rsidP="006F6C09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рисунке 2 видно, что число индивидуальных предпринимателей, использующих в качестве объекта налогообложения доходы, с каждым годом увеличивается, так, с 2016 года по 2020 год их число увеличилось на 397,8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тыс. руб. число предпринимателей, использующих в качестве объекта налогообложения доходы, уменьшенные на величину расходов, с каждым годом также увеличивается, с 2016 года по 2020 год их число увеличилось на 117,6</w:t>
      </w:r>
      <w:proofErr w:type="gramEnd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тыс. руб. </w:t>
      </w:r>
    </w:p>
    <w:p w:rsidR="00311AF8" w:rsidRDefault="00311AF8" w:rsidP="00311AF8">
      <w:pPr>
        <w:spacing w:after="0" w:line="360" w:lineRule="auto"/>
        <w:ind w:firstLine="709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EBA566" wp14:editId="6D352427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1AF8" w:rsidRDefault="00311AF8" w:rsidP="00311AF8">
      <w:pPr>
        <w:spacing w:after="0" w:line="360" w:lineRule="auto"/>
        <w:ind w:firstLine="709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Рисунок </w:t>
      </w:r>
      <w:r w:rsidR="00427572"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– Динамика объектов налогообложения доходы, доходы минус расходы из числа организаций</w:t>
      </w:r>
    </w:p>
    <w:p w:rsidR="006B7C86" w:rsidRPr="006553AE" w:rsidRDefault="00427572" w:rsidP="006553AE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Рисунок 3 показывает, что число организаций, использующих в качестве объекта налогообложения доходы, достаточно схоже с  организациями, использующими в качестве объекта налогообложения доходы, уменьшенные на величину р</w:t>
      </w:r>
      <w:r w:rsidR="00525A13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сходов.</w:t>
      </w:r>
    </w:p>
    <w:p w:rsidR="006B7C86" w:rsidRPr="006B7C86" w:rsidRDefault="006B7C86" w:rsidP="006553AE">
      <w:pPr>
        <w:pStyle w:val="1"/>
        <w:spacing w:before="0" w:line="360" w:lineRule="auto"/>
        <w:rPr>
          <w:rFonts w:eastAsia="SimSun"/>
          <w:lang w:eastAsia="ko-KR"/>
        </w:rPr>
      </w:pPr>
      <w:r w:rsidRPr="006B7C86">
        <w:rPr>
          <w:rFonts w:eastAsia="SimSun"/>
          <w:lang w:eastAsia="ko-KR"/>
        </w:rPr>
        <w:t>2.2 Анализ динамики поступления налогов, уплачиваемых в связи с применением УСН</w:t>
      </w:r>
      <w:bookmarkEnd w:id="1"/>
    </w:p>
    <w:p w:rsidR="006B7C86" w:rsidRPr="005365B3" w:rsidRDefault="006B7C86" w:rsidP="006553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ko-KR"/>
        </w:rPr>
      </w:pPr>
      <w:r w:rsidRPr="006B7C86"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Оценим динамику поступления налогов, уплачиваемых в связи с применением УСН (табл. </w:t>
      </w:r>
      <w:r w:rsidR="001E2DDC">
        <w:rPr>
          <w:rFonts w:ascii="Times New Roman" w:eastAsia="SimSun" w:hAnsi="Times New Roman" w:cs="Times New Roman"/>
          <w:sz w:val="28"/>
          <w:szCs w:val="28"/>
          <w:lang w:eastAsia="ko-KR"/>
        </w:rPr>
        <w:t>3</w:t>
      </w:r>
      <w:r w:rsidRPr="006B7C86"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). </w:t>
      </w:r>
    </w:p>
    <w:p w:rsidR="006B7C86" w:rsidRPr="006B7C86" w:rsidRDefault="006B7C86" w:rsidP="006553AE">
      <w:pPr>
        <w:keepNext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B7C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Таблица </w:t>
      </w:r>
      <w:r w:rsidR="001E2DD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 – </w:t>
      </w:r>
      <w:r w:rsidRPr="006B7C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Поступления налогов </w:t>
      </w:r>
      <w:r w:rsidR="00A51B05" w:rsidRPr="00A51B05">
        <w:rPr>
          <w:rFonts w:ascii="Times New Roman" w:eastAsia="Batang" w:hAnsi="Times New Roman" w:cs="Times New Roman"/>
          <w:sz w:val="28"/>
          <w:szCs w:val="28"/>
          <w:lang w:eastAsia="ko-KR"/>
        </w:rPr>
        <w:t>[6]</w:t>
      </w:r>
    </w:p>
    <w:tbl>
      <w:tblPr>
        <w:tblW w:w="93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240"/>
        <w:gridCol w:w="1240"/>
        <w:gridCol w:w="1240"/>
        <w:gridCol w:w="1240"/>
        <w:gridCol w:w="1260"/>
      </w:tblGrid>
      <w:tr w:rsidR="006B7C86" w:rsidRPr="00C30839" w:rsidTr="009A036B">
        <w:trPr>
          <w:trHeight w:val="5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>Период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b/>
                <w:bCs/>
                <w:szCs w:val="20"/>
                <w:lang w:eastAsia="zh-CN"/>
              </w:rPr>
              <w:t>2020 1 полугодие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Поступления налогов (млн.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38,8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56,0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84,1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124,2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65,3 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142,6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144,3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150,2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147,7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- 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В том числе УСН на патенте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2,9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6,6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15,4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9,2 </w:t>
            </w:r>
          </w:p>
        </w:tc>
      </w:tr>
      <w:tr w:rsidR="006B7C86" w:rsidRPr="00C30839" w:rsidTr="009A036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227,6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233,3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B7C86" w:rsidRPr="00C30839" w:rsidRDefault="006B7C86" w:rsidP="006B7C8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C30839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 - </w:t>
            </w:r>
          </w:p>
        </w:tc>
      </w:tr>
    </w:tbl>
    <w:p w:rsidR="006B7C86" w:rsidRDefault="006B7C86" w:rsidP="006B7C86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ko-KR"/>
        </w:rPr>
      </w:pPr>
    </w:p>
    <w:p w:rsidR="00754FF0" w:rsidRDefault="00754FF0" w:rsidP="00754FF0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ko-KR"/>
        </w:rPr>
      </w:pPr>
      <w:r>
        <w:rPr>
          <w:noProof/>
          <w:lang w:eastAsia="ru-RU"/>
        </w:rPr>
        <w:lastRenderedPageBreak/>
        <w:drawing>
          <wp:inline distT="0" distB="0" distL="0" distR="0" wp14:anchorId="7864E50B" wp14:editId="51B3CCC8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4FF0" w:rsidRPr="00754FF0" w:rsidRDefault="00754FF0" w:rsidP="00754FF0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ko-KR"/>
        </w:rPr>
      </w:pPr>
      <w:r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Рисунок </w:t>
      </w:r>
      <w:r w:rsidR="00F0668A">
        <w:rPr>
          <w:rFonts w:ascii="Times New Roman" w:eastAsia="SimSun" w:hAnsi="Times New Roman" w:cs="Times New Roman"/>
          <w:sz w:val="28"/>
          <w:szCs w:val="28"/>
          <w:lang w:eastAsia="ko-KR"/>
        </w:rPr>
        <w:t>4</w:t>
      </w:r>
      <w:r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 – </w:t>
      </w:r>
      <w:r w:rsidRPr="006B7C86">
        <w:rPr>
          <w:rFonts w:ascii="Times New Roman" w:eastAsia="SimSun" w:hAnsi="Times New Roman" w:cs="Times New Roman"/>
          <w:sz w:val="28"/>
          <w:szCs w:val="28"/>
          <w:lang w:eastAsia="ko-KR"/>
        </w:rPr>
        <w:t>динамик</w:t>
      </w:r>
      <w:r>
        <w:rPr>
          <w:rFonts w:ascii="Times New Roman" w:eastAsia="SimSun" w:hAnsi="Times New Roman" w:cs="Times New Roman"/>
          <w:sz w:val="28"/>
          <w:szCs w:val="28"/>
          <w:lang w:eastAsia="ko-KR"/>
        </w:rPr>
        <w:t>а</w:t>
      </w:r>
      <w:r w:rsidRPr="006B7C86"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 поступления налогов, уплачиваемых в связи с применением УСН</w:t>
      </w:r>
    </w:p>
    <w:p w:rsidR="006553AE" w:rsidRDefault="0019777D" w:rsidP="006553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ko-KR"/>
        </w:rPr>
      </w:pPr>
      <w:r>
        <w:rPr>
          <w:rFonts w:ascii="Times New Roman" w:eastAsia="SimSun" w:hAnsi="Times New Roman" w:cs="Times New Roman"/>
          <w:sz w:val="28"/>
          <w:szCs w:val="28"/>
          <w:lang w:eastAsia="ko-KR"/>
        </w:rPr>
        <w:t>Рисунок</w:t>
      </w:r>
      <w:r w:rsidR="0015117E" w:rsidRPr="0015117E"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 </w:t>
      </w:r>
      <w:r w:rsidR="00F0668A">
        <w:rPr>
          <w:rFonts w:ascii="Times New Roman" w:eastAsia="SimSun" w:hAnsi="Times New Roman" w:cs="Times New Roman"/>
          <w:sz w:val="28"/>
          <w:szCs w:val="28"/>
          <w:lang w:eastAsia="ko-KR"/>
        </w:rPr>
        <w:t>4</w:t>
      </w:r>
      <w:r w:rsidR="0015117E" w:rsidRPr="0015117E"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 показывает, что налоговые поступления ежегодно растут как в абсолютном, так и в относительном выражении. Можно предположить, что собираемость налогов к концу 2020 года также увеличится, несмотря на экономический кризис.</w:t>
      </w:r>
    </w:p>
    <w:p w:rsidR="001E2DDC" w:rsidRPr="001E2DDC" w:rsidRDefault="001E2DDC" w:rsidP="006553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ko-KR"/>
        </w:rPr>
      </w:pPr>
      <w:r>
        <w:rPr>
          <w:rFonts w:ascii="Times New Roman" w:eastAsia="SimSun" w:hAnsi="Times New Roman" w:cs="Times New Roman"/>
          <w:sz w:val="28"/>
          <w:szCs w:val="28"/>
          <w:lang w:eastAsia="ko-KR"/>
        </w:rPr>
        <w:t>Таблица 4 – П</w:t>
      </w:r>
      <w:r w:rsidR="001D6BBC">
        <w:rPr>
          <w:rFonts w:ascii="Times New Roman" w:eastAsia="SimSun" w:hAnsi="Times New Roman" w:cs="Times New Roman"/>
          <w:sz w:val="28"/>
          <w:szCs w:val="28"/>
          <w:lang w:eastAsia="ko-KR"/>
        </w:rPr>
        <w:t>риток</w:t>
      </w:r>
      <w:r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 налогов по УСН в консолидированный бюджет</w:t>
      </w:r>
      <w:r w:rsidR="00A51B05" w:rsidRPr="00A51B05"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 </w:t>
      </w:r>
      <w:r w:rsidR="00A51B05" w:rsidRPr="00A51B05">
        <w:rPr>
          <w:rFonts w:ascii="Times New Roman" w:eastAsia="Batang" w:hAnsi="Times New Roman" w:cs="Times New Roman"/>
          <w:sz w:val="28"/>
          <w:szCs w:val="28"/>
          <w:lang w:eastAsia="ko-KR"/>
        </w:rPr>
        <w:t>[6]</w:t>
      </w:r>
      <w:r>
        <w:rPr>
          <w:lang w:eastAsia="ko-KR"/>
        </w:rPr>
        <w:fldChar w:fldCharType="begin"/>
      </w:r>
      <w:r>
        <w:rPr>
          <w:lang w:eastAsia="ko-KR"/>
        </w:rPr>
        <w:instrText xml:space="preserve"> LINK </w:instrText>
      </w:r>
      <w:r w:rsidR="00890011">
        <w:rPr>
          <w:lang w:eastAsia="ko-KR"/>
        </w:rPr>
        <w:instrText xml:space="preserve">Excel.Sheet.12 "C:\\Users\\User\\Desktop\\Лист Microsoft Excel.xlsx" Лист3!R4C3:R7C8 </w:instrText>
      </w:r>
      <w:r>
        <w:rPr>
          <w:lang w:eastAsia="ko-KR"/>
        </w:rPr>
        <w:instrText xml:space="preserve">\a \f 4 \h </w:instrText>
      </w:r>
      <w:r>
        <w:rPr>
          <w:lang w:eastAsia="ko-KR"/>
        </w:rPr>
        <w:fldChar w:fldCharType="separate"/>
      </w:r>
    </w:p>
    <w:tbl>
      <w:tblPr>
        <w:tblpPr w:leftFromText="180" w:rightFromText="180" w:vertAnchor="text" w:horzAnchor="margin" w:tblpY="135"/>
        <w:tblW w:w="9324" w:type="dxa"/>
        <w:tblLook w:val="04A0" w:firstRow="1" w:lastRow="0" w:firstColumn="1" w:lastColumn="0" w:noHBand="0" w:noVBand="1"/>
      </w:tblPr>
      <w:tblGrid>
        <w:gridCol w:w="2660"/>
        <w:gridCol w:w="1296"/>
        <w:gridCol w:w="1296"/>
        <w:gridCol w:w="1296"/>
        <w:gridCol w:w="1360"/>
        <w:gridCol w:w="1416"/>
      </w:tblGrid>
      <w:tr w:rsidR="000A3BE3" w:rsidRPr="001E2DDC" w:rsidTr="000A3BE3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A3BE3" w:rsidRPr="001E2DDC" w:rsidTr="000A3BE3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риток </w:t>
            </w: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платежей в консолидированный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212318747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387463526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440353546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556908780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7415667502</w:t>
            </w:r>
          </w:p>
        </w:tc>
      </w:tr>
      <w:tr w:rsidR="000A3BE3" w:rsidRPr="001E2DDC" w:rsidTr="000A3BE3">
        <w:trPr>
          <w:trHeight w:val="12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алоги,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специальными</w:t>
            </w:r>
            <w:proofErr w:type="gramEnd"/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режимами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6857598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6857598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8158667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9369906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10860324</w:t>
            </w:r>
          </w:p>
        </w:tc>
      </w:tr>
      <w:tr w:rsidR="000A3BE3" w:rsidRPr="001E2DDC" w:rsidTr="000A3BE3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налоговых доходов от специальных режимов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3" w:rsidRPr="001E2DDC" w:rsidRDefault="000A3BE3" w:rsidP="000A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</w:tr>
    </w:tbl>
    <w:p w:rsidR="001E2DDC" w:rsidRDefault="001E2DDC" w:rsidP="000A3BE3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ko-KR"/>
        </w:rPr>
      </w:pPr>
      <w:r>
        <w:rPr>
          <w:rFonts w:ascii="Times New Roman" w:eastAsia="SimSun" w:hAnsi="Times New Roman" w:cs="Times New Roman"/>
          <w:sz w:val="28"/>
          <w:szCs w:val="28"/>
          <w:lang w:eastAsia="ko-KR"/>
        </w:rPr>
        <w:fldChar w:fldCharType="end"/>
      </w:r>
    </w:p>
    <w:p w:rsidR="00B906F2" w:rsidRDefault="00B906F2" w:rsidP="00B906F2">
      <w:pPr>
        <w:spacing w:line="360" w:lineRule="auto"/>
        <w:ind w:firstLine="708"/>
        <w:jc w:val="center"/>
        <w:rPr>
          <w:rFonts w:ascii="Times New Roman" w:eastAsia="SimSun" w:hAnsi="Times New Roman" w:cs="Times New Roman"/>
          <w:sz w:val="28"/>
          <w:szCs w:val="28"/>
          <w:lang w:eastAsia="ko-KR"/>
        </w:rPr>
      </w:pPr>
      <w:r>
        <w:rPr>
          <w:noProof/>
          <w:lang w:eastAsia="ru-RU"/>
        </w:rPr>
        <w:lastRenderedPageBreak/>
        <w:drawing>
          <wp:inline distT="0" distB="0" distL="0" distR="0" wp14:anchorId="574617F5" wp14:editId="3711FDB7">
            <wp:extent cx="4800600" cy="28860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06F2" w:rsidRDefault="00B906F2" w:rsidP="006553AE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ko-KR"/>
        </w:rPr>
      </w:pPr>
      <w:r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Рисунок 5 – </w:t>
      </w:r>
      <w:r w:rsidR="00BD1BFE">
        <w:rPr>
          <w:rFonts w:ascii="Times New Roman" w:eastAsia="SimSun" w:hAnsi="Times New Roman" w:cs="Times New Roman"/>
          <w:sz w:val="28"/>
          <w:szCs w:val="28"/>
          <w:lang w:eastAsia="ko-KR"/>
        </w:rPr>
        <w:t>Приток</w:t>
      </w:r>
      <w:r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 платежей в консолидированный бюджет </w:t>
      </w:r>
    </w:p>
    <w:p w:rsidR="00B906F2" w:rsidRDefault="00B906F2" w:rsidP="006553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ko-KR"/>
        </w:rPr>
      </w:pPr>
      <w:r>
        <w:rPr>
          <w:rFonts w:ascii="Times New Roman" w:eastAsia="SimSun" w:hAnsi="Times New Roman" w:cs="Times New Roman"/>
          <w:sz w:val="28"/>
          <w:szCs w:val="28"/>
          <w:lang w:eastAsia="ko-KR"/>
        </w:rPr>
        <w:t>На рисунке 5 видно, что поступления на протяжении восьми лет достаточно спокойно росли, а начиная с 2017 года ре</w:t>
      </w:r>
      <w:r w:rsidR="00744A0B">
        <w:rPr>
          <w:rFonts w:ascii="Times New Roman" w:eastAsia="SimSun" w:hAnsi="Times New Roman" w:cs="Times New Roman"/>
          <w:sz w:val="28"/>
          <w:szCs w:val="28"/>
          <w:lang w:eastAsia="ko-KR"/>
        </w:rPr>
        <w:t>з</w:t>
      </w:r>
      <w:r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ко стали увеличиваться и составили </w:t>
      </w:r>
      <w:r w:rsidRPr="00B906F2">
        <w:rPr>
          <w:rFonts w:ascii="Times New Roman" w:eastAsia="SimSun" w:hAnsi="Times New Roman" w:cs="Times New Roman"/>
          <w:sz w:val="28"/>
          <w:szCs w:val="28"/>
          <w:lang w:eastAsia="ko-KR"/>
        </w:rPr>
        <w:t>7415667502</w:t>
      </w:r>
      <w:r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 тыс. руб.</w:t>
      </w:r>
    </w:p>
    <w:p w:rsidR="00730B3F" w:rsidRDefault="00730B3F" w:rsidP="00730B3F">
      <w:pPr>
        <w:spacing w:line="360" w:lineRule="auto"/>
        <w:ind w:firstLine="708"/>
        <w:jc w:val="center"/>
        <w:rPr>
          <w:rFonts w:ascii="Times New Roman" w:eastAsia="SimSun" w:hAnsi="Times New Roman" w:cs="Times New Roman"/>
          <w:sz w:val="28"/>
          <w:szCs w:val="28"/>
          <w:lang w:eastAsia="ko-KR"/>
        </w:rPr>
      </w:pPr>
      <w:r>
        <w:rPr>
          <w:noProof/>
          <w:lang w:eastAsia="ru-RU"/>
        </w:rPr>
        <w:drawing>
          <wp:inline distT="0" distB="0" distL="0" distR="0" wp14:anchorId="41C7EB3C" wp14:editId="43975B56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0B3F" w:rsidRDefault="00730B3F" w:rsidP="006553AE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ko-KR"/>
        </w:rPr>
      </w:pPr>
      <w:r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Рисунок </w:t>
      </w:r>
      <w:r w:rsidR="0094359E">
        <w:rPr>
          <w:rFonts w:ascii="Times New Roman" w:eastAsia="SimSun" w:hAnsi="Times New Roman" w:cs="Times New Roman"/>
          <w:sz w:val="28"/>
          <w:szCs w:val="28"/>
          <w:lang w:eastAsia="ko-KR"/>
        </w:rPr>
        <w:t>6</w:t>
      </w:r>
      <w:r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 – </w:t>
      </w:r>
      <w:r w:rsidRPr="00730B3F"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Доля налоговых доходов от специальных режимов, </w:t>
      </w:r>
      <w:proofErr w:type="gramStart"/>
      <w:r w:rsidRPr="00730B3F">
        <w:rPr>
          <w:rFonts w:ascii="Times New Roman" w:eastAsia="SimSun" w:hAnsi="Times New Roman" w:cs="Times New Roman"/>
          <w:sz w:val="28"/>
          <w:szCs w:val="28"/>
          <w:lang w:eastAsia="ko-KR"/>
        </w:rPr>
        <w:t>в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 %</w:t>
      </w:r>
    </w:p>
    <w:p w:rsidR="00730B3F" w:rsidRPr="0015117E" w:rsidRDefault="00730B3F" w:rsidP="006553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ko-KR"/>
        </w:rPr>
      </w:pPr>
      <w:r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Рисунок </w:t>
      </w:r>
      <w:r w:rsidR="0094359E">
        <w:rPr>
          <w:rFonts w:ascii="Times New Roman" w:eastAsia="SimSun" w:hAnsi="Times New Roman" w:cs="Times New Roman"/>
          <w:sz w:val="28"/>
          <w:szCs w:val="28"/>
          <w:lang w:eastAsia="ko-KR"/>
        </w:rPr>
        <w:t>6</w:t>
      </w:r>
      <w:r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 показывает, какую долю составляли налоговые доходы за период с 2014 по 2018 годы. Наиболее высокая доля приходиться на 2016 год, тогда она составила 1,85%. Самая низкая доля пришлась на 2018 год, тогда она составила 1,45%.</w:t>
      </w:r>
    </w:p>
    <w:p w:rsidR="0015117E" w:rsidRPr="000A3BE3" w:rsidRDefault="0015117E" w:rsidP="006553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ko-KR"/>
        </w:rPr>
      </w:pPr>
      <w:r w:rsidRPr="000A3BE3">
        <w:rPr>
          <w:rFonts w:ascii="Times New Roman" w:eastAsia="SimSun" w:hAnsi="Times New Roman" w:cs="Times New Roman"/>
          <w:sz w:val="28"/>
          <w:szCs w:val="28"/>
          <w:lang w:eastAsia="ko-KR"/>
        </w:rPr>
        <w:lastRenderedPageBreak/>
        <w:t>Также увеличиваются налоговые поступления от патента USN. Дело в том, что перечень видов деятельности, разрешенных к налогообложению по данной системе, включает в основном виды малого частного предпринимательства. Патент не такой уж и дорогой, да и его владельцы практически не знают главного с налоговой отчетностью и прочими необходимыми вычетами.</w:t>
      </w:r>
    </w:p>
    <w:p w:rsidR="00106C55" w:rsidRPr="000A3BE3" w:rsidRDefault="0015117E" w:rsidP="006553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ko-KR"/>
        </w:rPr>
      </w:pPr>
      <w:r w:rsidRPr="000A3BE3"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Но рост количества организаций и индивидуальных предпринимателей, перешедших на упрощенную систему налогообложения, и, как следствие, рост налоговых поступлений от упрощенной системы налогообложения объясняется не только обычной популярностью среди реальных </w:t>
      </w:r>
      <w:r w:rsidR="00327433" w:rsidRPr="000A3BE3">
        <w:rPr>
          <w:rFonts w:ascii="Times New Roman" w:eastAsia="SimSun" w:hAnsi="Times New Roman" w:cs="Times New Roman"/>
          <w:sz w:val="28"/>
          <w:szCs w:val="28"/>
          <w:lang w:eastAsia="ko-KR"/>
        </w:rPr>
        <w:t>организаций малых предприятий. С</w:t>
      </w:r>
      <w:r w:rsidRPr="000A3BE3">
        <w:rPr>
          <w:rFonts w:ascii="Times New Roman" w:eastAsia="SimSun" w:hAnsi="Times New Roman" w:cs="Times New Roman"/>
          <w:sz w:val="28"/>
          <w:szCs w:val="28"/>
          <w:lang w:eastAsia="ko-KR"/>
        </w:rPr>
        <w:t>ектор</w:t>
      </w:r>
      <w:proofErr w:type="gramStart"/>
      <w:r w:rsidRPr="000A3BE3">
        <w:rPr>
          <w:rFonts w:ascii="Times New Roman" w:eastAsia="SimSun" w:hAnsi="Times New Roman" w:cs="Times New Roman"/>
          <w:sz w:val="28"/>
          <w:szCs w:val="28"/>
          <w:lang w:eastAsia="ko-KR"/>
        </w:rPr>
        <w:t>.</w:t>
      </w:r>
      <w:proofErr w:type="gramEnd"/>
      <w:r w:rsidRPr="000A3BE3">
        <w:rPr>
          <w:rFonts w:ascii="Times New Roman" w:eastAsia="SimSun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Pr="000A3BE3">
        <w:rPr>
          <w:rFonts w:ascii="Times New Roman" w:eastAsia="SimSun" w:hAnsi="Times New Roman" w:cs="Times New Roman"/>
          <w:sz w:val="28"/>
          <w:szCs w:val="28"/>
          <w:lang w:eastAsia="ko-KR"/>
        </w:rPr>
        <w:t>н</w:t>
      </w:r>
      <w:proofErr w:type="gramEnd"/>
      <w:r w:rsidRPr="000A3BE3">
        <w:rPr>
          <w:rFonts w:ascii="Times New Roman" w:eastAsia="SimSun" w:hAnsi="Times New Roman" w:cs="Times New Roman"/>
          <w:sz w:val="28"/>
          <w:szCs w:val="28"/>
          <w:lang w:eastAsia="ko-KR"/>
        </w:rPr>
        <w:t>о также «популярны» среди организаций, желающих минимизировать налогообложение. Более подробно об этом будет сказано в третьей главе.</w:t>
      </w:r>
      <w:r w:rsidR="00106C55" w:rsidRPr="000A3BE3">
        <w:rPr>
          <w:rFonts w:ascii="Times New Roman" w:eastAsia="SimSun" w:hAnsi="Times New Roman" w:cs="Times New Roman"/>
          <w:sz w:val="28"/>
          <w:szCs w:val="28"/>
          <w:lang w:eastAsia="ko-KR"/>
        </w:rPr>
        <w:br w:type="page"/>
      </w:r>
    </w:p>
    <w:p w:rsidR="006B7C86" w:rsidRPr="000A3BE3" w:rsidRDefault="006B7C86" w:rsidP="006553AE">
      <w:pPr>
        <w:pStyle w:val="1"/>
        <w:spacing w:before="0" w:line="360" w:lineRule="auto"/>
      </w:pPr>
      <w:r w:rsidRPr="000A3BE3">
        <w:lastRenderedPageBreak/>
        <w:tab/>
      </w:r>
      <w:r w:rsidR="00F10E31" w:rsidRPr="000A3BE3">
        <w:t xml:space="preserve">Заключение </w:t>
      </w:r>
    </w:p>
    <w:p w:rsidR="0015117E" w:rsidRPr="000A3BE3" w:rsidRDefault="0015117E" w:rsidP="006553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3BE3">
        <w:rPr>
          <w:rFonts w:ascii="Times New Roman" w:eastAsia="SimSun" w:hAnsi="Times New Roman" w:cs="Times New Roman"/>
          <w:sz w:val="28"/>
          <w:szCs w:val="28"/>
          <w:lang w:eastAsia="zh-CN"/>
        </w:rPr>
        <w:t>Если подойти к этому этапу развития упрощенной системы налогообложения с точки зрения предпринимателя, то у него есть ряд преимуществ. В настоящее время единый налог в упрощенной системе налогообложения заменяет четыре основных налога, что снижает налоговую нагрузку на организацию и, как следствие, дополнительную прибыль. В этом случае предприниматель может сам выбрать объект налогообложения.</w:t>
      </w:r>
    </w:p>
    <w:p w:rsidR="0015117E" w:rsidRPr="000A3BE3" w:rsidRDefault="0015117E" w:rsidP="006553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3BE3">
        <w:rPr>
          <w:rFonts w:ascii="Times New Roman" w:eastAsia="SimSun" w:hAnsi="Times New Roman" w:cs="Times New Roman"/>
          <w:sz w:val="28"/>
          <w:szCs w:val="28"/>
          <w:lang w:eastAsia="zh-CN"/>
        </w:rPr>
        <w:t>Подтверждение расходов, тогда, пожалуйста, он может выбрать СТС с доходом. Причем в этом случае он еще может уменьшить размер исчисленного налога на сумму перечисленных пенсионных взносов и предоставленного пособия по временной нетрудоспособности, но не более чем на 50%.</w:t>
      </w:r>
    </w:p>
    <w:p w:rsidR="0015117E" w:rsidRPr="000A3BE3" w:rsidRDefault="0015117E" w:rsidP="006553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3BE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Если предприниматель хочет максимально снизить налоговую базу (то есть </w:t>
      </w:r>
      <w:proofErr w:type="gramStart"/>
      <w:r w:rsidRPr="000A3BE3">
        <w:rPr>
          <w:rFonts w:ascii="Times New Roman" w:eastAsia="SimSun" w:hAnsi="Times New Roman" w:cs="Times New Roman"/>
          <w:sz w:val="28"/>
          <w:szCs w:val="28"/>
          <w:lang w:eastAsia="zh-CN"/>
        </w:rPr>
        <w:t>произведенные</w:t>
      </w:r>
      <w:proofErr w:type="gramEnd"/>
      <w:r w:rsidRPr="000A3BE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сопоставимы с доходами, например, в торговых организациях), то он должен быть в объекте доходов за вычетом расходов. Это особенно выгодно тем, для кого региональным законодательством введены дифференцированные налоговые ставки.</w:t>
      </w:r>
    </w:p>
    <w:p w:rsidR="0015117E" w:rsidRPr="000A3BE3" w:rsidRDefault="0015117E" w:rsidP="006553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3BE3">
        <w:rPr>
          <w:rFonts w:ascii="Times New Roman" w:eastAsia="SimSun" w:hAnsi="Times New Roman" w:cs="Times New Roman"/>
          <w:sz w:val="28"/>
          <w:szCs w:val="28"/>
          <w:lang w:eastAsia="zh-CN"/>
        </w:rPr>
        <w:t>При упрощенной системе налогообложения предприниматель платит налоговым органам гораздо меньше. Выбирая доход, предприниматель может вести налоговый учет доходов и расходов только в отношении дохода и не беспокоиться о документах, подтверждающих понесенные расходы.</w:t>
      </w:r>
    </w:p>
    <w:p w:rsidR="0015117E" w:rsidRPr="000A3BE3" w:rsidRDefault="0015117E" w:rsidP="006553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3BE3">
        <w:rPr>
          <w:rFonts w:ascii="Times New Roman" w:eastAsia="SimSun" w:hAnsi="Times New Roman" w:cs="Times New Roman"/>
          <w:sz w:val="28"/>
          <w:szCs w:val="28"/>
          <w:lang w:eastAsia="zh-CN"/>
        </w:rPr>
        <w:t>Законодательство также значительно расширило круг организаций и индивидуальных предпринимателей, которые могут перейти на упрощенную систему налогообложения.</w:t>
      </w:r>
    </w:p>
    <w:p w:rsidR="0015117E" w:rsidRPr="000A3BE3" w:rsidRDefault="0015117E" w:rsidP="006553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3BE3">
        <w:rPr>
          <w:rFonts w:ascii="Times New Roman" w:eastAsia="SimSun" w:hAnsi="Times New Roman" w:cs="Times New Roman"/>
          <w:sz w:val="28"/>
          <w:szCs w:val="28"/>
          <w:lang w:eastAsia="zh-CN"/>
        </w:rPr>
        <w:t>С точки зрения государства, а точнее бюджета, оно несет неоправданные убытки при действующей системе упрощенного налогообложения. Сегодня существует множество схем, позволяющих минимизировать налогообложение крупного предприятия с помощью упрощенной системы налогообложения.</w:t>
      </w:r>
    </w:p>
    <w:p w:rsidR="0015117E" w:rsidRPr="000A3BE3" w:rsidRDefault="0015117E" w:rsidP="006553AE">
      <w:pPr>
        <w:pStyle w:val="1"/>
        <w:spacing w:before="0" w:line="360" w:lineRule="auto"/>
        <w:ind w:firstLine="708"/>
        <w:jc w:val="both"/>
        <w:rPr>
          <w:rFonts w:eastAsia="SimSun" w:cs="Times New Roman"/>
          <w:bCs w:val="0"/>
          <w:lang w:eastAsia="zh-CN"/>
        </w:rPr>
      </w:pPr>
      <w:r w:rsidRPr="000A3BE3">
        <w:rPr>
          <w:rFonts w:eastAsia="SimSun" w:cs="Times New Roman"/>
          <w:bCs w:val="0"/>
          <w:lang w:eastAsia="zh-CN"/>
        </w:rPr>
        <w:lastRenderedPageBreak/>
        <w:t>Следовательно, реформа упрощенной системы налогообложения необходима ежегодно, чтобы в конечном итоге создать правовую базу, которая разумно поддерживает малый бизнес и исключает возможность использования малого бизнеса крупными предприятиями.</w:t>
      </w:r>
    </w:p>
    <w:p w:rsidR="0015117E" w:rsidRPr="000A3BE3" w:rsidRDefault="0015117E" w:rsidP="006553AE">
      <w:pPr>
        <w:pStyle w:val="1"/>
        <w:spacing w:before="0" w:line="360" w:lineRule="auto"/>
        <w:ind w:firstLine="708"/>
        <w:jc w:val="both"/>
        <w:rPr>
          <w:rFonts w:eastAsia="SimSun" w:cs="Times New Roman"/>
          <w:bCs w:val="0"/>
          <w:lang w:eastAsia="zh-CN"/>
        </w:rPr>
      </w:pPr>
      <w:r w:rsidRPr="000A3BE3">
        <w:rPr>
          <w:rFonts w:eastAsia="SimSun" w:cs="Times New Roman"/>
          <w:bCs w:val="0"/>
          <w:lang w:eastAsia="zh-CN"/>
        </w:rPr>
        <w:t>Подводя итоги, можно сказ</w:t>
      </w:r>
      <w:r w:rsidR="00A9139C" w:rsidRPr="000A3BE3">
        <w:rPr>
          <w:rFonts w:eastAsia="SimSun" w:cs="Times New Roman"/>
          <w:bCs w:val="0"/>
          <w:lang w:eastAsia="zh-CN"/>
        </w:rPr>
        <w:t>ать, что малый бизнес в России –</w:t>
      </w:r>
      <w:r w:rsidRPr="000A3BE3">
        <w:rPr>
          <w:rFonts w:eastAsia="SimSun" w:cs="Times New Roman"/>
          <w:bCs w:val="0"/>
          <w:lang w:eastAsia="zh-CN"/>
        </w:rPr>
        <w:t xml:space="preserve"> это уже реальность, и от его развития, от такого отношения общества и государства к экономической сфере зависит развитие всей России в целом.</w:t>
      </w:r>
    </w:p>
    <w:p w:rsidR="00FA5DD5" w:rsidRDefault="00A9139C" w:rsidP="00655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eastAsia="zh-CN"/>
        </w:rPr>
      </w:pPr>
      <w:r w:rsidRPr="000A3BE3">
        <w:rPr>
          <w:rFonts w:ascii="Times New Roman" w:hAnsi="Times New Roman" w:cs="Times New Roman"/>
          <w:sz w:val="28"/>
          <w:lang w:eastAsia="zh-CN"/>
        </w:rPr>
        <w:t xml:space="preserve">Для наглядного представления и сравнения в таблице </w:t>
      </w:r>
      <w:r w:rsidR="000A3BE3">
        <w:rPr>
          <w:rFonts w:ascii="Times New Roman" w:hAnsi="Times New Roman" w:cs="Times New Roman"/>
          <w:sz w:val="28"/>
          <w:lang w:eastAsia="zh-CN"/>
        </w:rPr>
        <w:t>5</w:t>
      </w:r>
      <w:r w:rsidRPr="000A3BE3">
        <w:rPr>
          <w:rFonts w:ascii="Times New Roman" w:hAnsi="Times New Roman" w:cs="Times New Roman"/>
          <w:sz w:val="28"/>
          <w:lang w:eastAsia="zh-CN"/>
        </w:rPr>
        <w:t xml:space="preserve"> представлены специальные налоговые режимы.</w:t>
      </w:r>
    </w:p>
    <w:p w:rsidR="00327433" w:rsidRPr="00A9139C" w:rsidRDefault="00327433" w:rsidP="006553AE">
      <w:pPr>
        <w:spacing w:after="0" w:line="360" w:lineRule="auto"/>
        <w:jc w:val="both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  <w:t xml:space="preserve">Таблица </w:t>
      </w:r>
      <w:r w:rsidR="001F4974">
        <w:rPr>
          <w:rFonts w:ascii="Times New Roman" w:hAnsi="Times New Roman" w:cs="Times New Roman"/>
          <w:sz w:val="28"/>
          <w:lang w:eastAsia="zh-CN"/>
        </w:rPr>
        <w:t>5</w:t>
      </w:r>
      <w:r w:rsidR="00A9139C">
        <w:rPr>
          <w:rFonts w:ascii="Times New Roman" w:hAnsi="Times New Roman" w:cs="Times New Roman"/>
          <w:sz w:val="28"/>
          <w:lang w:eastAsia="zh-CN"/>
        </w:rPr>
        <w:t xml:space="preserve"> – </w:t>
      </w:r>
      <w:r w:rsidR="00A9139C" w:rsidRPr="00F6736C">
        <w:rPr>
          <w:rFonts w:ascii="Times New Roman" w:hAnsi="Times New Roman" w:cs="Times New Roman"/>
          <w:sz w:val="28"/>
          <w:lang w:eastAsia="zh-CN"/>
        </w:rPr>
        <w:t>Сравнительная таблица применения специальных налоговых режимов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712"/>
        <w:gridCol w:w="2073"/>
      </w:tblGrid>
      <w:tr w:rsidR="00F6736C" w:rsidRPr="00C30839" w:rsidTr="006553AE">
        <w:tc>
          <w:tcPr>
            <w:tcW w:w="1951" w:type="dxa"/>
          </w:tcPr>
          <w:p w:rsidR="00F6736C" w:rsidRPr="00C30839" w:rsidRDefault="00F6736C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Критерии</w:t>
            </w:r>
          </w:p>
        </w:tc>
        <w:tc>
          <w:tcPr>
            <w:tcW w:w="2835" w:type="dxa"/>
          </w:tcPr>
          <w:p w:rsidR="00F6736C" w:rsidRPr="00C30839" w:rsidRDefault="00F6736C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УСНО</w:t>
            </w:r>
          </w:p>
        </w:tc>
        <w:tc>
          <w:tcPr>
            <w:tcW w:w="2712" w:type="dxa"/>
          </w:tcPr>
          <w:p w:rsidR="00F6736C" w:rsidRPr="00C30839" w:rsidRDefault="00F6736C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Патентная система н/о</w:t>
            </w:r>
          </w:p>
        </w:tc>
        <w:tc>
          <w:tcPr>
            <w:tcW w:w="2073" w:type="dxa"/>
          </w:tcPr>
          <w:p w:rsidR="00F6736C" w:rsidRPr="00C30839" w:rsidRDefault="00F6736C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ЕСХН</w:t>
            </w:r>
          </w:p>
        </w:tc>
      </w:tr>
      <w:tr w:rsidR="00F6736C" w:rsidRPr="00C30839" w:rsidTr="00A9139C">
        <w:tc>
          <w:tcPr>
            <w:tcW w:w="1951" w:type="dxa"/>
          </w:tcPr>
          <w:p w:rsidR="00F6736C" w:rsidRPr="00C30839" w:rsidRDefault="00F6736C" w:rsidP="00F6736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Объект н/о</w:t>
            </w:r>
          </w:p>
        </w:tc>
        <w:tc>
          <w:tcPr>
            <w:tcW w:w="2835" w:type="dxa"/>
          </w:tcPr>
          <w:p w:rsidR="00F6736C" w:rsidRPr="00C30839" w:rsidRDefault="00F6736C" w:rsidP="00F6736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Доходы</w:t>
            </w:r>
          </w:p>
          <w:p w:rsidR="00F6736C" w:rsidRPr="00C30839" w:rsidRDefault="00F6736C" w:rsidP="00F6736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Доходы, уменьшенные на величину расходов</w:t>
            </w:r>
          </w:p>
        </w:tc>
        <w:tc>
          <w:tcPr>
            <w:tcW w:w="2712" w:type="dxa"/>
          </w:tcPr>
          <w:p w:rsidR="00F6736C" w:rsidRPr="00C30839" w:rsidRDefault="00C30839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 xml:space="preserve">Потенциально </w:t>
            </w:r>
            <w:proofErr w:type="gramStart"/>
            <w:r w:rsidRPr="00C30839">
              <w:rPr>
                <w:rFonts w:ascii="Times New Roman" w:hAnsi="Times New Roman" w:cs="Times New Roman"/>
                <w:lang w:eastAsia="zh-CN"/>
              </w:rPr>
              <w:t>возможный</w:t>
            </w:r>
            <w:proofErr w:type="gramEnd"/>
            <w:r w:rsidRPr="00C30839">
              <w:rPr>
                <w:rFonts w:ascii="Times New Roman" w:hAnsi="Times New Roman" w:cs="Times New Roman"/>
                <w:lang w:eastAsia="zh-CN"/>
              </w:rPr>
              <w:t xml:space="preserve"> к получению годового дохода по соответствующему виду деятельности</w:t>
            </w:r>
          </w:p>
        </w:tc>
        <w:tc>
          <w:tcPr>
            <w:tcW w:w="2073" w:type="dxa"/>
          </w:tcPr>
          <w:p w:rsidR="00F6736C" w:rsidRPr="00C30839" w:rsidRDefault="00F6736C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Доходы, уменьшенные на величину расходов</w:t>
            </w:r>
          </w:p>
        </w:tc>
      </w:tr>
      <w:tr w:rsidR="00F6736C" w:rsidRPr="00C30839" w:rsidTr="00A9139C">
        <w:tc>
          <w:tcPr>
            <w:tcW w:w="1951" w:type="dxa"/>
          </w:tcPr>
          <w:p w:rsidR="00F6736C" w:rsidRPr="00C30839" w:rsidRDefault="00F6736C" w:rsidP="00F6736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Налоговые ставки</w:t>
            </w:r>
          </w:p>
        </w:tc>
        <w:tc>
          <w:tcPr>
            <w:tcW w:w="2835" w:type="dxa"/>
          </w:tcPr>
          <w:p w:rsidR="00F6736C" w:rsidRPr="00C30839" w:rsidRDefault="00F6736C" w:rsidP="00F6736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Доходы – 6%</w:t>
            </w:r>
          </w:p>
          <w:p w:rsidR="00F6736C" w:rsidRPr="00C30839" w:rsidRDefault="00F6736C" w:rsidP="00F6736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Доходы, уменьшенные на величину расходов – 15%</w:t>
            </w:r>
          </w:p>
        </w:tc>
        <w:tc>
          <w:tcPr>
            <w:tcW w:w="2712" w:type="dxa"/>
          </w:tcPr>
          <w:p w:rsidR="00F6736C" w:rsidRPr="00C30839" w:rsidRDefault="00C30839" w:rsidP="00C3083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 xml:space="preserve">6% (могут быть </w:t>
            </w:r>
            <w:proofErr w:type="gramStart"/>
            <w:r w:rsidRPr="00C30839">
              <w:rPr>
                <w:rFonts w:ascii="Times New Roman" w:hAnsi="Times New Roman" w:cs="Times New Roman"/>
                <w:lang w:eastAsia="zh-CN"/>
              </w:rPr>
              <w:t>уменьшены</w:t>
            </w:r>
            <w:proofErr w:type="gramEnd"/>
            <w:r w:rsidRPr="00C30839">
              <w:rPr>
                <w:rFonts w:ascii="Times New Roman" w:hAnsi="Times New Roman" w:cs="Times New Roman"/>
                <w:lang w:eastAsia="zh-CN"/>
              </w:rPr>
              <w:t xml:space="preserve"> отдельных регионах)</w:t>
            </w:r>
          </w:p>
        </w:tc>
        <w:tc>
          <w:tcPr>
            <w:tcW w:w="2073" w:type="dxa"/>
          </w:tcPr>
          <w:p w:rsidR="00F6736C" w:rsidRPr="00C30839" w:rsidRDefault="00F6736C" w:rsidP="00C3083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 xml:space="preserve">6% (могут быть </w:t>
            </w:r>
            <w:proofErr w:type="gramStart"/>
            <w:r w:rsidRPr="00C30839">
              <w:rPr>
                <w:rFonts w:ascii="Times New Roman" w:hAnsi="Times New Roman" w:cs="Times New Roman"/>
                <w:lang w:eastAsia="zh-CN"/>
              </w:rPr>
              <w:t>уменьшены</w:t>
            </w:r>
            <w:proofErr w:type="gramEnd"/>
            <w:r w:rsidRPr="00C30839">
              <w:rPr>
                <w:rFonts w:ascii="Times New Roman" w:hAnsi="Times New Roman" w:cs="Times New Roman"/>
                <w:lang w:eastAsia="zh-CN"/>
              </w:rPr>
              <w:t xml:space="preserve"> в отдельных регионах)</w:t>
            </w:r>
          </w:p>
        </w:tc>
      </w:tr>
      <w:tr w:rsidR="00F6736C" w:rsidRPr="00C30839" w:rsidTr="00A9139C">
        <w:tc>
          <w:tcPr>
            <w:tcW w:w="1951" w:type="dxa"/>
          </w:tcPr>
          <w:p w:rsidR="00F6736C" w:rsidRPr="00C30839" w:rsidRDefault="00F6736C" w:rsidP="00F6736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Налоговый период</w:t>
            </w:r>
          </w:p>
        </w:tc>
        <w:tc>
          <w:tcPr>
            <w:tcW w:w="2835" w:type="dxa"/>
          </w:tcPr>
          <w:p w:rsidR="00F6736C" w:rsidRPr="00C30839" w:rsidRDefault="00F6736C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Календарный год</w:t>
            </w:r>
          </w:p>
        </w:tc>
        <w:tc>
          <w:tcPr>
            <w:tcW w:w="2712" w:type="dxa"/>
          </w:tcPr>
          <w:p w:rsidR="00F6736C" w:rsidRPr="00C30839" w:rsidRDefault="00F6736C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Календарный год</w:t>
            </w:r>
          </w:p>
        </w:tc>
        <w:tc>
          <w:tcPr>
            <w:tcW w:w="2073" w:type="dxa"/>
          </w:tcPr>
          <w:p w:rsidR="00F6736C" w:rsidRPr="00C30839" w:rsidRDefault="00F6736C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Календарный год</w:t>
            </w:r>
          </w:p>
        </w:tc>
      </w:tr>
      <w:tr w:rsidR="00F6736C" w:rsidRPr="00C30839" w:rsidTr="00A9139C">
        <w:tc>
          <w:tcPr>
            <w:tcW w:w="1951" w:type="dxa"/>
          </w:tcPr>
          <w:p w:rsidR="00F6736C" w:rsidRPr="00C30839" w:rsidRDefault="00F6736C" w:rsidP="00F6736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Сроки уплаты налогов</w:t>
            </w:r>
          </w:p>
        </w:tc>
        <w:tc>
          <w:tcPr>
            <w:tcW w:w="2835" w:type="dxa"/>
          </w:tcPr>
          <w:p w:rsidR="00F6736C" w:rsidRPr="00C30839" w:rsidRDefault="00F6736C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ИП: Не позднее 31 марта.</w:t>
            </w:r>
          </w:p>
          <w:p w:rsidR="00F6736C" w:rsidRPr="00C30839" w:rsidRDefault="00F6736C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Организации: не позднее 30 апреля.</w:t>
            </w:r>
          </w:p>
        </w:tc>
        <w:tc>
          <w:tcPr>
            <w:tcW w:w="2712" w:type="dxa"/>
          </w:tcPr>
          <w:p w:rsidR="00F6736C" w:rsidRPr="00C30839" w:rsidRDefault="00C30839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Не позднее срока окончания действия патента.</w:t>
            </w:r>
          </w:p>
        </w:tc>
        <w:tc>
          <w:tcPr>
            <w:tcW w:w="2073" w:type="dxa"/>
          </w:tcPr>
          <w:p w:rsidR="00F6736C" w:rsidRPr="00C30839" w:rsidRDefault="00C30839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Не позднее 25-ти календарных дней</w:t>
            </w:r>
          </w:p>
        </w:tc>
      </w:tr>
      <w:tr w:rsidR="00F6736C" w:rsidRPr="00C30839" w:rsidTr="00A9139C">
        <w:tc>
          <w:tcPr>
            <w:tcW w:w="1951" w:type="dxa"/>
          </w:tcPr>
          <w:p w:rsidR="00F6736C" w:rsidRPr="00C30839" w:rsidRDefault="00F6736C" w:rsidP="00F6736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Количество человек</w:t>
            </w:r>
          </w:p>
        </w:tc>
        <w:tc>
          <w:tcPr>
            <w:tcW w:w="2835" w:type="dxa"/>
          </w:tcPr>
          <w:p w:rsidR="00F6736C" w:rsidRPr="00C30839" w:rsidRDefault="00F6736C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Не более 100 человек</w:t>
            </w:r>
          </w:p>
        </w:tc>
        <w:tc>
          <w:tcPr>
            <w:tcW w:w="2712" w:type="dxa"/>
          </w:tcPr>
          <w:p w:rsidR="00F6736C" w:rsidRPr="00C30839" w:rsidRDefault="00C30839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15 человек</w:t>
            </w:r>
          </w:p>
        </w:tc>
        <w:tc>
          <w:tcPr>
            <w:tcW w:w="2073" w:type="dxa"/>
          </w:tcPr>
          <w:p w:rsidR="00F6736C" w:rsidRPr="00C30839" w:rsidRDefault="00C30839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Не более 300 человек</w:t>
            </w:r>
          </w:p>
        </w:tc>
      </w:tr>
      <w:tr w:rsidR="00F6736C" w:rsidRPr="00C30839" w:rsidTr="00A9139C">
        <w:tc>
          <w:tcPr>
            <w:tcW w:w="1951" w:type="dxa"/>
          </w:tcPr>
          <w:p w:rsidR="00F6736C" w:rsidRPr="00C30839" w:rsidRDefault="00F6736C" w:rsidP="00F6736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Применение контрольно-кассовой техники</w:t>
            </w:r>
          </w:p>
        </w:tc>
        <w:tc>
          <w:tcPr>
            <w:tcW w:w="2835" w:type="dxa"/>
          </w:tcPr>
          <w:p w:rsidR="00F6736C" w:rsidRPr="00C30839" w:rsidRDefault="00F6736C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Обязательно, но есть исключения</w:t>
            </w:r>
          </w:p>
        </w:tc>
        <w:tc>
          <w:tcPr>
            <w:tcW w:w="2712" w:type="dxa"/>
          </w:tcPr>
          <w:p w:rsidR="00F6736C" w:rsidRPr="00C30839" w:rsidRDefault="00C30839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Обязательно</w:t>
            </w:r>
          </w:p>
        </w:tc>
        <w:tc>
          <w:tcPr>
            <w:tcW w:w="2073" w:type="dxa"/>
          </w:tcPr>
          <w:p w:rsidR="00F6736C" w:rsidRPr="00C30839" w:rsidRDefault="00C30839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Обязательно</w:t>
            </w:r>
          </w:p>
        </w:tc>
      </w:tr>
      <w:tr w:rsidR="00F6736C" w:rsidRPr="00C30839" w:rsidTr="00A9139C">
        <w:tc>
          <w:tcPr>
            <w:tcW w:w="1951" w:type="dxa"/>
          </w:tcPr>
          <w:p w:rsidR="00F6736C" w:rsidRPr="00C30839" w:rsidRDefault="00F6736C" w:rsidP="00F6736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Предоставление налоговых деклараций</w:t>
            </w:r>
          </w:p>
        </w:tc>
        <w:tc>
          <w:tcPr>
            <w:tcW w:w="2835" w:type="dxa"/>
          </w:tcPr>
          <w:p w:rsidR="00F6736C" w:rsidRPr="00C30839" w:rsidRDefault="00F6736C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ИП: не позднее 30 апреля.</w:t>
            </w:r>
          </w:p>
          <w:p w:rsidR="00F6736C" w:rsidRPr="00C30839" w:rsidRDefault="00F6736C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Организации: не позднее 31 марта.</w:t>
            </w:r>
          </w:p>
        </w:tc>
        <w:tc>
          <w:tcPr>
            <w:tcW w:w="2712" w:type="dxa"/>
          </w:tcPr>
          <w:p w:rsidR="00F6736C" w:rsidRPr="00C30839" w:rsidRDefault="00C30839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Не предусмотрено</w:t>
            </w:r>
          </w:p>
        </w:tc>
        <w:tc>
          <w:tcPr>
            <w:tcW w:w="2073" w:type="dxa"/>
          </w:tcPr>
          <w:p w:rsidR="00F6736C" w:rsidRPr="00C30839" w:rsidRDefault="00C30839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Не позднее 31 марта</w:t>
            </w:r>
          </w:p>
        </w:tc>
      </w:tr>
      <w:tr w:rsidR="00F6736C" w:rsidRPr="00C30839" w:rsidTr="00A9139C">
        <w:tc>
          <w:tcPr>
            <w:tcW w:w="1951" w:type="dxa"/>
          </w:tcPr>
          <w:p w:rsidR="00F6736C" w:rsidRPr="00C30839" w:rsidRDefault="00F6736C" w:rsidP="00F6736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Лимит доходов</w:t>
            </w:r>
          </w:p>
        </w:tc>
        <w:tc>
          <w:tcPr>
            <w:tcW w:w="2835" w:type="dxa"/>
          </w:tcPr>
          <w:p w:rsidR="00F6736C" w:rsidRPr="00C30839" w:rsidRDefault="00F6736C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Не более 150 млн. руб.</w:t>
            </w:r>
          </w:p>
        </w:tc>
        <w:tc>
          <w:tcPr>
            <w:tcW w:w="2712" w:type="dxa"/>
          </w:tcPr>
          <w:p w:rsidR="00F6736C" w:rsidRPr="00C30839" w:rsidRDefault="00C30839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ИП: не более 60 млн. руб.</w:t>
            </w:r>
          </w:p>
          <w:p w:rsidR="00C30839" w:rsidRPr="00C30839" w:rsidRDefault="00C30839" w:rsidP="00C30839">
            <w:pPr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Нескл. Патентов: общая выручка.</w:t>
            </w:r>
          </w:p>
        </w:tc>
        <w:tc>
          <w:tcPr>
            <w:tcW w:w="2073" w:type="dxa"/>
          </w:tcPr>
          <w:p w:rsidR="00F6736C" w:rsidRPr="00C30839" w:rsidRDefault="00C30839" w:rsidP="00F6736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30839">
              <w:rPr>
                <w:rFonts w:ascii="Times New Roman" w:hAnsi="Times New Roman" w:cs="Times New Roman"/>
                <w:lang w:eastAsia="zh-CN"/>
              </w:rPr>
              <w:t>Более 70%</w:t>
            </w:r>
          </w:p>
        </w:tc>
      </w:tr>
    </w:tbl>
    <w:p w:rsidR="00564445" w:rsidRDefault="00564445">
      <w:pPr>
        <w:rPr>
          <w:lang w:eastAsia="zh-CN"/>
        </w:rPr>
      </w:pPr>
    </w:p>
    <w:p w:rsidR="0015117E" w:rsidRPr="005365B3" w:rsidRDefault="00564445">
      <w:pPr>
        <w:rPr>
          <w:lang w:eastAsia="zh-CN"/>
        </w:rPr>
      </w:pPr>
      <w:r>
        <w:rPr>
          <w:lang w:eastAsia="zh-CN"/>
        </w:rPr>
        <w:br w:type="page"/>
      </w:r>
    </w:p>
    <w:p w:rsidR="003D2FF0" w:rsidRDefault="003D2FF0" w:rsidP="0015117E">
      <w:pPr>
        <w:pStyle w:val="1"/>
        <w:spacing w:line="360" w:lineRule="auto"/>
      </w:pPr>
      <w:r w:rsidRPr="008719B2">
        <w:lastRenderedPageBreak/>
        <w:t>СПИСОК ИСПОЛЬЗОВАННЫХ ИСТОЧНИКОВ</w:t>
      </w:r>
    </w:p>
    <w:p w:rsidR="00BB407A" w:rsidRPr="000968CD" w:rsidRDefault="00BB407A" w:rsidP="00BB407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8B1">
        <w:rPr>
          <w:rFonts w:ascii="Times New Roman" w:hAnsi="Times New Roman" w:cs="Times New Roman"/>
          <w:sz w:val="28"/>
          <w:szCs w:val="28"/>
        </w:rPr>
        <w:t>Аладышева</w:t>
      </w:r>
      <w:proofErr w:type="spellEnd"/>
      <w:r w:rsidRPr="00B958B1">
        <w:rPr>
          <w:rFonts w:ascii="Times New Roman" w:hAnsi="Times New Roman" w:cs="Times New Roman"/>
          <w:sz w:val="28"/>
          <w:szCs w:val="28"/>
        </w:rPr>
        <w:t xml:space="preserve"> К.Н. Индивидуальный предприниматель и системы </w:t>
      </w:r>
      <w:proofErr w:type="spellStart"/>
      <w:r w:rsidRPr="00B958B1">
        <w:rPr>
          <w:rFonts w:ascii="Times New Roman" w:hAnsi="Times New Roman" w:cs="Times New Roman"/>
          <w:sz w:val="28"/>
          <w:szCs w:val="28"/>
        </w:rPr>
        <w:t>налогобложения</w:t>
      </w:r>
      <w:proofErr w:type="spellEnd"/>
      <w:r w:rsidRPr="00B958B1">
        <w:rPr>
          <w:rFonts w:ascii="Times New Roman" w:hAnsi="Times New Roman" w:cs="Times New Roman"/>
          <w:sz w:val="28"/>
          <w:szCs w:val="28"/>
        </w:rPr>
        <w:t xml:space="preserve">//«Упрощенка». - </w:t>
      </w:r>
      <w:r>
        <w:rPr>
          <w:rFonts w:ascii="Times New Roman" w:hAnsi="Times New Roman" w:cs="Times New Roman"/>
          <w:sz w:val="28"/>
          <w:szCs w:val="28"/>
        </w:rPr>
        <w:t>2020.-(№10).</w:t>
      </w:r>
    </w:p>
    <w:p w:rsidR="00BB407A" w:rsidRDefault="00BB407A" w:rsidP="00BB407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B1">
        <w:rPr>
          <w:rFonts w:ascii="Times New Roman" w:hAnsi="Times New Roman" w:cs="Times New Roman"/>
          <w:sz w:val="28"/>
          <w:szCs w:val="28"/>
        </w:rPr>
        <w:t>Михайлов П.С. Применение УСН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58B1">
        <w:rPr>
          <w:rFonts w:ascii="Times New Roman" w:hAnsi="Times New Roman" w:cs="Times New Roman"/>
          <w:sz w:val="28"/>
          <w:szCs w:val="28"/>
        </w:rPr>
        <w:t xml:space="preserve"> году: оцениваем преимущества и риски//«Упрощенка».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58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07A" w:rsidRDefault="00BB407A" w:rsidP="00BB407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Налоговый кодекс РФ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131D">
        <w:rPr>
          <w:rFonts w:ascii="Times New Roman" w:hAnsi="Times New Roman" w:cs="Times New Roman"/>
          <w:sz w:val="28"/>
          <w:szCs w:val="28"/>
        </w:rPr>
        <w:t>http://www.consultant.ru/document/cons_doc_LAW_19671/</w:t>
      </w:r>
      <w:r w:rsidR="00455D34">
        <w:rPr>
          <w:rFonts w:ascii="Times New Roman" w:hAnsi="Times New Roman" w:cs="Times New Roman"/>
          <w:sz w:val="28"/>
          <w:szCs w:val="28"/>
        </w:rPr>
        <w:t xml:space="preserve"> (дата обращения: 10.10.2021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407A" w:rsidRPr="0078131D" w:rsidRDefault="00BB407A" w:rsidP="00BB407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Налоговой РФ</w:t>
      </w:r>
      <w:r w:rsidRPr="00D56B82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131D">
        <w:t xml:space="preserve"> </w:t>
      </w:r>
      <w:hyperlink r:id="rId15" w:history="1">
        <w:r w:rsidRPr="00D56B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https://www.nalog.ru/rn77/taxation/taxes/usn/</w:t>
        </w:r>
      </w:hyperlink>
      <w:r w:rsidRPr="00781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12</w:t>
      </w:r>
      <w:r w:rsidR="00455D34">
        <w:rPr>
          <w:rFonts w:ascii="Times New Roman" w:hAnsi="Times New Roman" w:cs="Times New Roman"/>
          <w:sz w:val="28"/>
          <w:szCs w:val="28"/>
        </w:rPr>
        <w:t>.10.2021</w:t>
      </w:r>
      <w:r w:rsidRPr="007813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07A" w:rsidRPr="0078131D" w:rsidRDefault="00BB407A" w:rsidP="00BB407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82"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 xml:space="preserve">ициальный сайт Совета Федерации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58B1">
        <w:rPr>
          <w:rFonts w:ascii="Times New Roman" w:hAnsi="Times New Roman" w:cs="Times New Roman"/>
          <w:sz w:val="28"/>
          <w:szCs w:val="28"/>
        </w:rPr>
        <w:t>www.</w:t>
      </w:r>
      <w:r>
        <w:rPr>
          <w:rFonts w:ascii="Times New Roman" w:hAnsi="Times New Roman" w:cs="Times New Roman"/>
          <w:sz w:val="28"/>
          <w:szCs w:val="28"/>
        </w:rPr>
        <w:t>council.gov.ru</w:t>
      </w:r>
      <w:r w:rsidRPr="00781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11</w:t>
      </w:r>
      <w:r w:rsidR="00455D34">
        <w:rPr>
          <w:rFonts w:ascii="Times New Roman" w:hAnsi="Times New Roman" w:cs="Times New Roman"/>
          <w:sz w:val="28"/>
          <w:szCs w:val="28"/>
        </w:rPr>
        <w:t>.10.2021</w:t>
      </w:r>
      <w:r w:rsidRPr="0078131D">
        <w:rPr>
          <w:rFonts w:ascii="Times New Roman" w:hAnsi="Times New Roman" w:cs="Times New Roman"/>
          <w:sz w:val="28"/>
          <w:szCs w:val="28"/>
        </w:rPr>
        <w:t>)</w:t>
      </w:r>
      <w:r w:rsidR="001621BF">
        <w:rPr>
          <w:rFonts w:ascii="Times New Roman" w:hAnsi="Times New Roman" w:cs="Times New Roman"/>
          <w:sz w:val="28"/>
          <w:szCs w:val="28"/>
        </w:rPr>
        <w:t>.</w:t>
      </w:r>
    </w:p>
    <w:p w:rsidR="001621BF" w:rsidRPr="0078131D" w:rsidRDefault="001621BF" w:rsidP="001621B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Федеральная служба государственной статистики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21BF">
        <w:rPr>
          <w:rFonts w:ascii="Times New Roman" w:hAnsi="Times New Roman" w:cs="Times New Roman"/>
          <w:sz w:val="28"/>
          <w:szCs w:val="28"/>
        </w:rPr>
        <w:t>https://rosstat.gov.ru/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11</w:t>
      </w:r>
      <w:r w:rsidR="00455D34">
        <w:rPr>
          <w:rFonts w:ascii="Times New Roman" w:hAnsi="Times New Roman" w:cs="Times New Roman"/>
          <w:sz w:val="28"/>
          <w:szCs w:val="28"/>
        </w:rPr>
        <w:t>.10.2021</w:t>
      </w:r>
      <w:r w:rsidRPr="007813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6E9" w:rsidRPr="001621BF" w:rsidRDefault="00E006E9" w:rsidP="001621B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006E9" w:rsidRPr="001621BF" w:rsidSect="00F10E31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9" w:rsidRDefault="00FF5549" w:rsidP="006B7C86">
      <w:pPr>
        <w:spacing w:after="0" w:line="240" w:lineRule="auto"/>
      </w:pPr>
      <w:r>
        <w:separator/>
      </w:r>
    </w:p>
  </w:endnote>
  <w:endnote w:type="continuationSeparator" w:id="0">
    <w:p w:rsidR="00FF5549" w:rsidRDefault="00FF5549" w:rsidP="006B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800179"/>
      <w:docPartObj>
        <w:docPartGallery w:val="Page Numbers (Bottom of Page)"/>
        <w:docPartUnique/>
      </w:docPartObj>
    </w:sdtPr>
    <w:sdtEndPr/>
    <w:sdtContent>
      <w:p w:rsidR="009A036B" w:rsidRDefault="009A03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8CA">
          <w:rPr>
            <w:noProof/>
          </w:rPr>
          <w:t>19</w:t>
        </w:r>
        <w:r>
          <w:fldChar w:fldCharType="end"/>
        </w:r>
      </w:p>
    </w:sdtContent>
  </w:sdt>
  <w:p w:rsidR="009A036B" w:rsidRDefault="009A03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9" w:rsidRDefault="00FF5549" w:rsidP="006B7C86">
      <w:pPr>
        <w:spacing w:after="0" w:line="240" w:lineRule="auto"/>
      </w:pPr>
      <w:r>
        <w:separator/>
      </w:r>
    </w:p>
  </w:footnote>
  <w:footnote w:type="continuationSeparator" w:id="0">
    <w:p w:rsidR="00FF5549" w:rsidRDefault="00FF5549" w:rsidP="006B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189"/>
    <w:multiLevelType w:val="hybridMultilevel"/>
    <w:tmpl w:val="421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DC3"/>
    <w:multiLevelType w:val="hybridMultilevel"/>
    <w:tmpl w:val="8304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3DBA"/>
    <w:multiLevelType w:val="hybridMultilevel"/>
    <w:tmpl w:val="BDB0BB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EEB60FD"/>
    <w:multiLevelType w:val="hybridMultilevel"/>
    <w:tmpl w:val="18B677B6"/>
    <w:lvl w:ilvl="0" w:tplc="447EE9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E0781"/>
    <w:multiLevelType w:val="hybridMultilevel"/>
    <w:tmpl w:val="FFDE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F7A21"/>
    <w:multiLevelType w:val="hybridMultilevel"/>
    <w:tmpl w:val="A98A8E34"/>
    <w:lvl w:ilvl="0" w:tplc="1C28AEE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9C784B"/>
    <w:multiLevelType w:val="hybridMultilevel"/>
    <w:tmpl w:val="59D2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F5AE6"/>
    <w:multiLevelType w:val="hybridMultilevel"/>
    <w:tmpl w:val="DD8E2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3A5D3B"/>
    <w:multiLevelType w:val="hybridMultilevel"/>
    <w:tmpl w:val="94C6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50298"/>
    <w:multiLevelType w:val="hybridMultilevel"/>
    <w:tmpl w:val="77D24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560323"/>
    <w:multiLevelType w:val="hybridMultilevel"/>
    <w:tmpl w:val="0726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543FB"/>
    <w:multiLevelType w:val="hybridMultilevel"/>
    <w:tmpl w:val="8AC2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71DE4"/>
    <w:multiLevelType w:val="hybridMultilevel"/>
    <w:tmpl w:val="E2C6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D7F4B"/>
    <w:multiLevelType w:val="hybridMultilevel"/>
    <w:tmpl w:val="E1727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9627F6"/>
    <w:multiLevelType w:val="hybridMultilevel"/>
    <w:tmpl w:val="8C368D4C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77775B8E"/>
    <w:multiLevelType w:val="hybridMultilevel"/>
    <w:tmpl w:val="47EE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220BB"/>
    <w:multiLevelType w:val="hybridMultilevel"/>
    <w:tmpl w:val="FD08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450F0"/>
    <w:multiLevelType w:val="hybridMultilevel"/>
    <w:tmpl w:val="E7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3"/>
  </w:num>
  <w:num w:numId="5">
    <w:abstractNumId w:val="14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6"/>
  </w:num>
  <w:num w:numId="13">
    <w:abstractNumId w:val="1"/>
  </w:num>
  <w:num w:numId="14">
    <w:abstractNumId w:val="13"/>
  </w:num>
  <w:num w:numId="15">
    <w:abstractNumId w:val="7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A3"/>
    <w:rsid w:val="00015F7E"/>
    <w:rsid w:val="00016AC3"/>
    <w:rsid w:val="00026947"/>
    <w:rsid w:val="00041EC6"/>
    <w:rsid w:val="000635B1"/>
    <w:rsid w:val="00066C0F"/>
    <w:rsid w:val="000733F6"/>
    <w:rsid w:val="00097AD3"/>
    <w:rsid w:val="000A3BE3"/>
    <w:rsid w:val="000C15F4"/>
    <w:rsid w:val="00106C55"/>
    <w:rsid w:val="001305F0"/>
    <w:rsid w:val="00132208"/>
    <w:rsid w:val="00143340"/>
    <w:rsid w:val="0015117E"/>
    <w:rsid w:val="001621BF"/>
    <w:rsid w:val="00177C3C"/>
    <w:rsid w:val="00181A69"/>
    <w:rsid w:val="00192DB0"/>
    <w:rsid w:val="001934ED"/>
    <w:rsid w:val="0019777D"/>
    <w:rsid w:val="001D5AD2"/>
    <w:rsid w:val="001D6BBC"/>
    <w:rsid w:val="001E2DDC"/>
    <w:rsid w:val="001F4974"/>
    <w:rsid w:val="00233F3D"/>
    <w:rsid w:val="00264163"/>
    <w:rsid w:val="00274318"/>
    <w:rsid w:val="00277CEC"/>
    <w:rsid w:val="0028699B"/>
    <w:rsid w:val="002D228D"/>
    <w:rsid w:val="00311AF8"/>
    <w:rsid w:val="0032114C"/>
    <w:rsid w:val="00327433"/>
    <w:rsid w:val="0034221C"/>
    <w:rsid w:val="003430C4"/>
    <w:rsid w:val="00382549"/>
    <w:rsid w:val="00390B17"/>
    <w:rsid w:val="003C60A3"/>
    <w:rsid w:val="003D2FF0"/>
    <w:rsid w:val="003D6F09"/>
    <w:rsid w:val="003E1886"/>
    <w:rsid w:val="0041360F"/>
    <w:rsid w:val="00427572"/>
    <w:rsid w:val="00455D34"/>
    <w:rsid w:val="004A0A62"/>
    <w:rsid w:val="004C0E32"/>
    <w:rsid w:val="00525A13"/>
    <w:rsid w:val="00534C92"/>
    <w:rsid w:val="005365B3"/>
    <w:rsid w:val="005565B0"/>
    <w:rsid w:val="00564445"/>
    <w:rsid w:val="005C1818"/>
    <w:rsid w:val="005D5469"/>
    <w:rsid w:val="005D6E04"/>
    <w:rsid w:val="005E1974"/>
    <w:rsid w:val="005F4176"/>
    <w:rsid w:val="00652C67"/>
    <w:rsid w:val="006553AE"/>
    <w:rsid w:val="00667E1B"/>
    <w:rsid w:val="006751AC"/>
    <w:rsid w:val="006A5D6D"/>
    <w:rsid w:val="006B7C86"/>
    <w:rsid w:val="006C2C53"/>
    <w:rsid w:val="006D68E8"/>
    <w:rsid w:val="006F2F07"/>
    <w:rsid w:val="006F6C09"/>
    <w:rsid w:val="0071487C"/>
    <w:rsid w:val="00730B3F"/>
    <w:rsid w:val="00744A0B"/>
    <w:rsid w:val="00754FF0"/>
    <w:rsid w:val="00776467"/>
    <w:rsid w:val="00783B5A"/>
    <w:rsid w:val="00793217"/>
    <w:rsid w:val="007B4525"/>
    <w:rsid w:val="007F6803"/>
    <w:rsid w:val="007F6A3B"/>
    <w:rsid w:val="008113D1"/>
    <w:rsid w:val="0082637E"/>
    <w:rsid w:val="00856212"/>
    <w:rsid w:val="00880BD8"/>
    <w:rsid w:val="00883278"/>
    <w:rsid w:val="00890011"/>
    <w:rsid w:val="00893EFF"/>
    <w:rsid w:val="008A4CA8"/>
    <w:rsid w:val="008C51FF"/>
    <w:rsid w:val="008F224F"/>
    <w:rsid w:val="0094359E"/>
    <w:rsid w:val="00946F23"/>
    <w:rsid w:val="00951BF1"/>
    <w:rsid w:val="009636D8"/>
    <w:rsid w:val="009A036B"/>
    <w:rsid w:val="009C6C5D"/>
    <w:rsid w:val="00A02001"/>
    <w:rsid w:val="00A51B05"/>
    <w:rsid w:val="00A9139C"/>
    <w:rsid w:val="00B66FBD"/>
    <w:rsid w:val="00B906F2"/>
    <w:rsid w:val="00B958B1"/>
    <w:rsid w:val="00BB407A"/>
    <w:rsid w:val="00BD1BFE"/>
    <w:rsid w:val="00BD45D4"/>
    <w:rsid w:val="00BE697B"/>
    <w:rsid w:val="00C30839"/>
    <w:rsid w:val="00C31C5D"/>
    <w:rsid w:val="00C40719"/>
    <w:rsid w:val="00C75E18"/>
    <w:rsid w:val="00CA352E"/>
    <w:rsid w:val="00CD0724"/>
    <w:rsid w:val="00CE1B62"/>
    <w:rsid w:val="00CF6A4D"/>
    <w:rsid w:val="00D25F72"/>
    <w:rsid w:val="00D531D7"/>
    <w:rsid w:val="00D708CA"/>
    <w:rsid w:val="00D76811"/>
    <w:rsid w:val="00D82FFA"/>
    <w:rsid w:val="00D900B5"/>
    <w:rsid w:val="00DF27C5"/>
    <w:rsid w:val="00E006E9"/>
    <w:rsid w:val="00E507A4"/>
    <w:rsid w:val="00EA6EB9"/>
    <w:rsid w:val="00EA78D7"/>
    <w:rsid w:val="00EB4F0D"/>
    <w:rsid w:val="00F0668A"/>
    <w:rsid w:val="00F079A3"/>
    <w:rsid w:val="00F10E31"/>
    <w:rsid w:val="00F6183D"/>
    <w:rsid w:val="00F6736C"/>
    <w:rsid w:val="00F8177A"/>
    <w:rsid w:val="00FA2570"/>
    <w:rsid w:val="00FA5DD5"/>
    <w:rsid w:val="00FC189B"/>
    <w:rsid w:val="00FF304B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5B1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5B1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0635B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6B7C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6B7C8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rsid w:val="006B7C86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6B7C8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1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E31"/>
  </w:style>
  <w:style w:type="paragraph" w:styleId="aa">
    <w:name w:val="footer"/>
    <w:basedOn w:val="a"/>
    <w:link w:val="ab"/>
    <w:uiPriority w:val="99"/>
    <w:unhideWhenUsed/>
    <w:rsid w:val="00F1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E31"/>
  </w:style>
  <w:style w:type="paragraph" w:styleId="ac">
    <w:name w:val="No Spacing"/>
    <w:uiPriority w:val="1"/>
    <w:qFormat/>
    <w:rsid w:val="00F10E31"/>
    <w:pPr>
      <w:spacing w:after="0" w:line="240" w:lineRule="auto"/>
    </w:pPr>
  </w:style>
  <w:style w:type="table" w:styleId="ad">
    <w:name w:val="Table Grid"/>
    <w:basedOn w:val="a1"/>
    <w:uiPriority w:val="59"/>
    <w:rsid w:val="00F6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5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5B1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5B1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0635B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6B7C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6B7C8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rsid w:val="006B7C86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6B7C8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1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E31"/>
  </w:style>
  <w:style w:type="paragraph" w:styleId="aa">
    <w:name w:val="footer"/>
    <w:basedOn w:val="a"/>
    <w:link w:val="ab"/>
    <w:uiPriority w:val="99"/>
    <w:unhideWhenUsed/>
    <w:rsid w:val="00F1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E31"/>
  </w:style>
  <w:style w:type="paragraph" w:styleId="ac">
    <w:name w:val="No Spacing"/>
    <w:uiPriority w:val="1"/>
    <w:qFormat/>
    <w:rsid w:val="00F10E31"/>
    <w:pPr>
      <w:spacing w:after="0" w:line="240" w:lineRule="auto"/>
    </w:pPr>
  </w:style>
  <w:style w:type="table" w:styleId="ad">
    <w:name w:val="Table Grid"/>
    <w:basedOn w:val="a1"/>
    <w:uiPriority w:val="59"/>
    <w:rsid w:val="00F6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5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s://www.nalog.ru/rn77/taxation/taxes/usn/" TargetMode="Externa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1"/>
          <c:order val="0"/>
          <c:tx>
            <c:strRef>
              <c:f>Лист2!$D$8</c:f>
              <c:strCache>
                <c:ptCount val="1"/>
                <c:pt idx="0">
                  <c:v>объект - доходы (тыс.)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Лист2!$E$4:$I$4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xVal>
          <c:yVal>
            <c:numRef>
              <c:f>Лист2!$E$9:$I$9</c:f>
              <c:numCache>
                <c:formatCode>General</c:formatCode>
                <c:ptCount val="5"/>
                <c:pt idx="0">
                  <c:v>63.6</c:v>
                </c:pt>
                <c:pt idx="1">
                  <c:v>61.9</c:v>
                </c:pt>
                <c:pt idx="2">
                  <c:v>62.1</c:v>
                </c:pt>
                <c:pt idx="3">
                  <c:v>62.5</c:v>
                </c:pt>
                <c:pt idx="4">
                  <c:v>62.3</c:v>
                </c:pt>
              </c:numCache>
            </c:numRef>
          </c:yVal>
          <c:smooth val="1"/>
        </c:ser>
        <c:ser>
          <c:idx val="2"/>
          <c:order val="1"/>
          <c:tx>
            <c:strRef>
              <c:f>Лист2!$D$10</c:f>
              <c:strCache>
                <c:ptCount val="1"/>
                <c:pt idx="0">
                  <c:v>объект - доходы минус расходы (тыс.)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Лист2!$E$4:$I$4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xVal>
          <c:yVal>
            <c:numRef>
              <c:f>Лист2!$E$11:$I$11</c:f>
              <c:numCache>
                <c:formatCode>General</c:formatCode>
                <c:ptCount val="5"/>
                <c:pt idx="0">
                  <c:v>36.4</c:v>
                </c:pt>
                <c:pt idx="1">
                  <c:v>38.1</c:v>
                </c:pt>
                <c:pt idx="2">
                  <c:v>37.9</c:v>
                </c:pt>
                <c:pt idx="3">
                  <c:v>37.5</c:v>
                </c:pt>
                <c:pt idx="4">
                  <c:v>37.700000000000003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7468800"/>
        <c:axId val="277469376"/>
      </c:scatterChart>
      <c:valAx>
        <c:axId val="27746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7469376"/>
        <c:crosses val="autoZero"/>
        <c:crossBetween val="midCat"/>
      </c:valAx>
      <c:valAx>
        <c:axId val="27746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468800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Лист2!$D$22</c:f>
              <c:strCache>
                <c:ptCount val="1"/>
                <c:pt idx="0">
                  <c:v>объект - доходы (тыс.)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Лист2!$E$4:$I$4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xVal>
          <c:yVal>
            <c:numRef>
              <c:f>Лист2!$E$22:$I$22</c:f>
              <c:numCache>
                <c:formatCode>General</c:formatCode>
                <c:ptCount val="5"/>
                <c:pt idx="0">
                  <c:v>346.3</c:v>
                </c:pt>
                <c:pt idx="1">
                  <c:v>420.9</c:v>
                </c:pt>
                <c:pt idx="2">
                  <c:v>516.70000000000005</c:v>
                </c:pt>
                <c:pt idx="3">
                  <c:v>622.1</c:v>
                </c:pt>
                <c:pt idx="4">
                  <c:v>744.1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Лист2!$D$24</c:f>
              <c:strCache>
                <c:ptCount val="1"/>
                <c:pt idx="0">
                  <c:v>объект - доходы минус расходы (тыс.)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Лист2!$E$4:$I$4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xVal>
          <c:yVal>
            <c:numRef>
              <c:f>Лист2!$E$24:$I$24</c:f>
              <c:numCache>
                <c:formatCode>General</c:formatCode>
                <c:ptCount val="5"/>
                <c:pt idx="0">
                  <c:v>119.6</c:v>
                </c:pt>
                <c:pt idx="1">
                  <c:v>146.9</c:v>
                </c:pt>
                <c:pt idx="2">
                  <c:v>176.7</c:v>
                </c:pt>
                <c:pt idx="3">
                  <c:v>206.6</c:v>
                </c:pt>
                <c:pt idx="4">
                  <c:v>237.2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7471232"/>
        <c:axId val="277471808"/>
      </c:scatterChart>
      <c:valAx>
        <c:axId val="27747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7471808"/>
        <c:crosses val="autoZero"/>
        <c:crossBetween val="midCat"/>
      </c:valAx>
      <c:valAx>
        <c:axId val="27747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471232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Лист2!$D$22</c:f>
              <c:strCache>
                <c:ptCount val="1"/>
                <c:pt idx="0">
                  <c:v>объект - доходы (тыс.)</c:v>
                </c:pt>
              </c:strCache>
            </c:strRef>
          </c:tx>
          <c:dLbls>
            <c:dLbl>
              <c:idx val="0"/>
              <c:layout>
                <c:manualLayout>
                  <c:x val="-1.6666666666666666E-2"/>
                  <c:y val="4.1666666666666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88888888888894E-2"/>
                  <c:y val="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44444444444445E-2"/>
                  <c:y val="5.55551910177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Лист2!$E$4:$I$4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xVal>
          <c:yVal>
            <c:numRef>
              <c:f>Лист2!$E$15:$I$15</c:f>
              <c:numCache>
                <c:formatCode>General</c:formatCode>
                <c:ptCount val="5"/>
                <c:pt idx="0">
                  <c:v>182</c:v>
                </c:pt>
                <c:pt idx="1">
                  <c:v>240.4</c:v>
                </c:pt>
                <c:pt idx="2">
                  <c:v>316.2</c:v>
                </c:pt>
                <c:pt idx="3">
                  <c:v>372.8</c:v>
                </c:pt>
                <c:pt idx="4">
                  <c:v>402.4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Лист2!$D$24</c:f>
              <c:strCache>
                <c:ptCount val="1"/>
                <c:pt idx="0">
                  <c:v>объект - доходы минус расходы (тыс.)</c:v>
                </c:pt>
              </c:strCache>
            </c:strRef>
          </c:tx>
          <c:dLbls>
            <c:dLbl>
              <c:idx val="1"/>
              <c:layout>
                <c:manualLayout>
                  <c:x val="-8.333333333333332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0555555555555561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3333333333333329E-2"/>
                  <c:y val="-4.6296296296296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666666666666664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Лист2!$E$4:$I$4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xVal>
          <c:yVal>
            <c:numRef>
              <c:f>Лист2!$E$17:$I$17</c:f>
              <c:numCache>
                <c:formatCode>General</c:formatCode>
                <c:ptCount val="5"/>
                <c:pt idx="0">
                  <c:v>182.2</c:v>
                </c:pt>
                <c:pt idx="1">
                  <c:v>250.8</c:v>
                </c:pt>
                <c:pt idx="2">
                  <c:v>331.8</c:v>
                </c:pt>
                <c:pt idx="3">
                  <c:v>400.6</c:v>
                </c:pt>
                <c:pt idx="4">
                  <c:v>420.6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7473536"/>
        <c:axId val="277474112"/>
      </c:scatterChart>
      <c:valAx>
        <c:axId val="27747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7474112"/>
        <c:crosses val="autoZero"/>
        <c:crossBetween val="midCat"/>
      </c:valAx>
      <c:valAx>
        <c:axId val="27747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473536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Поступления налогов (млн. руб.)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Лист1!$D$4:$H$4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Лист1!$D$5:$H$5</c:f>
              <c:numCache>
                <c:formatCode>General</c:formatCode>
                <c:ptCount val="5"/>
                <c:pt idx="0">
                  <c:v>38.799999999999997</c:v>
                </c:pt>
                <c:pt idx="1">
                  <c:v>56</c:v>
                </c:pt>
                <c:pt idx="2">
                  <c:v>84.1</c:v>
                </c:pt>
                <c:pt idx="3">
                  <c:v>124.2</c:v>
                </c:pt>
                <c:pt idx="4">
                  <c:v>65.3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% к предыдущему году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Лист1!$D$4:$H$4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Лист1!$D$6:$H$6</c:f>
              <c:numCache>
                <c:formatCode>General</c:formatCode>
                <c:ptCount val="5"/>
                <c:pt idx="0">
                  <c:v>142.6</c:v>
                </c:pt>
                <c:pt idx="1">
                  <c:v>144.30000000000001</c:v>
                </c:pt>
                <c:pt idx="2">
                  <c:v>150.19999999999999</c:v>
                </c:pt>
                <c:pt idx="3">
                  <c:v>147.69999999999999</c:v>
                </c:pt>
              </c:numCache>
            </c:numRef>
          </c:val>
        </c:ser>
        <c:ser>
          <c:idx val="2"/>
          <c:order val="2"/>
          <c:tx>
            <c:strRef>
              <c:f>Лист1!$C$7</c:f>
              <c:strCache>
                <c:ptCount val="1"/>
                <c:pt idx="0">
                  <c:v>В том числе УСН на патенте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Лист1!$D$4:$H$4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Лист1!$D$7:$H$7</c:f>
              <c:numCache>
                <c:formatCode>General</c:formatCode>
                <c:ptCount val="5"/>
                <c:pt idx="1">
                  <c:v>2.9</c:v>
                </c:pt>
                <c:pt idx="2">
                  <c:v>6.6</c:v>
                </c:pt>
                <c:pt idx="3">
                  <c:v>15.4</c:v>
                </c:pt>
                <c:pt idx="4">
                  <c:v>9.1999999999999993</c:v>
                </c:pt>
              </c:numCache>
            </c:numRef>
          </c:val>
        </c:ser>
        <c:ser>
          <c:idx val="3"/>
          <c:order val="3"/>
          <c:tx>
            <c:strRef>
              <c:f>Лист1!$C$8</c:f>
              <c:strCache>
                <c:ptCount val="1"/>
                <c:pt idx="0">
                  <c:v>% к предыдущему году</c:v>
                </c:pt>
              </c:strCache>
            </c:strRef>
          </c:tx>
          <c:invertIfNegative val="0"/>
          <c:cat>
            <c:strRef>
              <c:f>Лист1!$D$4:$H$4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Лист1!$D$8:$H$8</c:f>
              <c:numCache>
                <c:formatCode>General</c:formatCode>
                <c:ptCount val="5"/>
                <c:pt idx="2">
                  <c:v>227.6</c:v>
                </c:pt>
                <c:pt idx="3">
                  <c:v>233.3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581888"/>
        <c:axId val="277475840"/>
      </c:barChart>
      <c:catAx>
        <c:axId val="276581888"/>
        <c:scaling>
          <c:orientation val="minMax"/>
        </c:scaling>
        <c:delete val="0"/>
        <c:axPos val="b"/>
        <c:majorTickMark val="out"/>
        <c:minorTickMark val="none"/>
        <c:tickLblPos val="nextTo"/>
        <c:crossAx val="277475840"/>
        <c:crosses val="autoZero"/>
        <c:auto val="1"/>
        <c:lblAlgn val="ctr"/>
        <c:lblOffset val="100"/>
        <c:noMultiLvlLbl val="0"/>
      </c:catAx>
      <c:valAx>
        <c:axId val="27747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65818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Лист3!$C$5</c:f>
              <c:strCache>
                <c:ptCount val="1"/>
                <c:pt idx="0">
                  <c:v>Поступило платижей в консолидированный бюджет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333333333333329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3333333333333329E-2"/>
                  <c:y val="-7.4074074074074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555555555555454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Лист3!$D$4:$H$4</c:f>
              <c:numCache>
                <c:formatCode>General</c:formatCode>
                <c:ptCount val="5"/>
                <c:pt idx="0">
                  <c:v>2010</c:v>
                </c:pt>
                <c:pt idx="1">
                  <c:v>2014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Лист3!$D$5:$H$5</c:f>
              <c:numCache>
                <c:formatCode>General</c:formatCode>
                <c:ptCount val="5"/>
                <c:pt idx="0">
                  <c:v>212318747</c:v>
                </c:pt>
                <c:pt idx="1">
                  <c:v>387463526</c:v>
                </c:pt>
                <c:pt idx="2">
                  <c:v>440353546</c:v>
                </c:pt>
                <c:pt idx="3">
                  <c:v>556908780</c:v>
                </c:pt>
                <c:pt idx="4">
                  <c:v>7415667502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009856"/>
        <c:axId val="277477568"/>
      </c:lineChart>
      <c:catAx>
        <c:axId val="29400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7477568"/>
        <c:crosses val="autoZero"/>
        <c:auto val="1"/>
        <c:lblAlgn val="ctr"/>
        <c:lblOffset val="100"/>
        <c:noMultiLvlLbl val="0"/>
      </c:catAx>
      <c:valAx>
        <c:axId val="27747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4009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налоговых доходов от специальных режимов, в %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Лист3!$C$7</c:f>
              <c:strCache>
                <c:ptCount val="1"/>
                <c:pt idx="0">
                  <c:v>Доля налоговых доходов от специальных режимов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Лист3!$E$4:$H$4</c:f>
              <c:numCache>
                <c:formatCode>General</c:formatCode>
                <c:ptCount val="4"/>
                <c:pt idx="0">
                  <c:v>2014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Лист3!$E$7:$H$7</c:f>
              <c:numCache>
                <c:formatCode>General</c:formatCode>
                <c:ptCount val="4"/>
                <c:pt idx="0">
                  <c:v>1.77</c:v>
                </c:pt>
                <c:pt idx="1">
                  <c:v>1.85</c:v>
                </c:pt>
                <c:pt idx="2">
                  <c:v>1.68</c:v>
                </c:pt>
                <c:pt idx="3">
                  <c:v>1.46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BF15-8979-40E0-82A1-725DA455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19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</dc:creator>
  <cp:lastModifiedBy>Eleni</cp:lastModifiedBy>
  <cp:revision>91</cp:revision>
  <cp:lastPrinted>2020-11-21T07:31:00Z</cp:lastPrinted>
  <dcterms:created xsi:type="dcterms:W3CDTF">2020-11-03T12:34:00Z</dcterms:created>
  <dcterms:modified xsi:type="dcterms:W3CDTF">2022-01-20T08:43:00Z</dcterms:modified>
</cp:coreProperties>
</file>