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21" w:rsidRDefault="00DC6916" w:rsidP="00DC6916">
      <w:pPr>
        <w:pStyle w:val="hcwomain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DC6916">
        <w:rPr>
          <w:b/>
        </w:rPr>
        <w:t>РАЗРАБОТКА ПРОГРАММЫ ВНУТРЕННЕГО АУДИТА ИСПЫТАТЕЛЬНОЙ ЛАБОРАТОРИИ</w:t>
      </w:r>
    </w:p>
    <w:p w:rsidR="00941D43" w:rsidRDefault="00941D43" w:rsidP="00DC6916">
      <w:pPr>
        <w:pStyle w:val="hcwomain"/>
        <w:spacing w:before="0" w:beforeAutospacing="0" w:after="0" w:afterAutospacing="0" w:line="360" w:lineRule="auto"/>
        <w:ind w:firstLine="709"/>
        <w:jc w:val="center"/>
        <w:rPr>
          <w:b/>
        </w:rPr>
      </w:pPr>
      <w:r>
        <w:rPr>
          <w:b/>
        </w:rPr>
        <w:t>Попова Ирина Александровна</w:t>
      </w:r>
    </w:p>
    <w:p w:rsidR="00941D43" w:rsidRPr="00941D43" w:rsidRDefault="00941D43" w:rsidP="00941D43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41D43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машиноведения и </w:t>
      </w:r>
      <w:proofErr w:type="spellStart"/>
      <w:r w:rsidRPr="00941D43">
        <w:rPr>
          <w:rFonts w:ascii="Times New Roman" w:hAnsi="Times New Roman" w:cs="Times New Roman"/>
          <w:color w:val="000000"/>
          <w:sz w:val="24"/>
          <w:szCs w:val="24"/>
        </w:rPr>
        <w:t>мехатроники</w:t>
      </w:r>
      <w:proofErr w:type="spellEnd"/>
      <w:r w:rsidRPr="00941D43">
        <w:rPr>
          <w:rFonts w:ascii="Times New Roman" w:hAnsi="Times New Roman" w:cs="Times New Roman"/>
          <w:color w:val="000000"/>
          <w:sz w:val="24"/>
          <w:szCs w:val="24"/>
        </w:rPr>
        <w:t xml:space="preserve"> /кафедра технического регулирования и метрологии, Университет  </w:t>
      </w:r>
      <w:r w:rsidRPr="00941D4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Сибирский государственный университет науки и технологий имени М.Ф. </w:t>
      </w:r>
      <w:proofErr w:type="spellStart"/>
      <w:r w:rsidRPr="00941D43">
        <w:rPr>
          <w:rFonts w:ascii="Times New Roman" w:hAnsi="Times New Roman" w:cs="Times New Roman"/>
          <w:color w:val="000000"/>
          <w:sz w:val="24"/>
          <w:szCs w:val="24"/>
          <w:u w:val="single"/>
        </w:rPr>
        <w:t>Решетнева</w:t>
      </w:r>
      <w:proofErr w:type="spellEnd"/>
    </w:p>
    <w:p w:rsidR="007E4E21" w:rsidRPr="00DC6916" w:rsidRDefault="007E4E21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7E4E21" w:rsidRDefault="007E4E21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C6916">
        <w:rPr>
          <w:color w:val="000000"/>
        </w:rPr>
        <w:t xml:space="preserve">Внутренний аудит является одним из инструментов менеджмента проверки результативности внедрения и функционирования </w:t>
      </w:r>
      <w:r w:rsidR="00B319AB">
        <w:rPr>
          <w:color w:val="000000"/>
        </w:rPr>
        <w:t>системы менеджмента качества (</w:t>
      </w:r>
      <w:r w:rsidRPr="00DC6916">
        <w:rPr>
          <w:color w:val="000000"/>
        </w:rPr>
        <w:t>СМК</w:t>
      </w:r>
      <w:r w:rsidR="00B319AB">
        <w:rPr>
          <w:color w:val="000000"/>
        </w:rPr>
        <w:t>)</w:t>
      </w:r>
      <w:r w:rsidRPr="00DC6916">
        <w:rPr>
          <w:color w:val="000000"/>
        </w:rPr>
        <w:t xml:space="preserve">. Организация должна проводить внутренние аудиты через запланированные интервалы времени для получения информации о </w:t>
      </w:r>
      <w:r w:rsidR="00B319AB">
        <w:rPr>
          <w:color w:val="000000"/>
        </w:rPr>
        <w:t xml:space="preserve">соответствии СМК собственным требованиям </w:t>
      </w:r>
      <w:r w:rsidR="000C5A46">
        <w:rPr>
          <w:color w:val="000000"/>
        </w:rPr>
        <w:t xml:space="preserve">организации и  требованиям стандартов. </w:t>
      </w:r>
    </w:p>
    <w:p w:rsidR="00C258E5" w:rsidRPr="001C2FCC" w:rsidRDefault="00A13B27" w:rsidP="00C258E5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C6916">
        <w:rPr>
          <w:color w:val="000000"/>
        </w:rPr>
        <w:t>В настоящее время аккредитация испытательных лабораторий</w:t>
      </w:r>
      <w:r w:rsidR="00C258E5">
        <w:rPr>
          <w:color w:val="000000"/>
        </w:rPr>
        <w:t xml:space="preserve"> (ИЛ)</w:t>
      </w:r>
      <w:r w:rsidRPr="00DC6916">
        <w:rPr>
          <w:color w:val="000000"/>
        </w:rPr>
        <w:t xml:space="preserve"> важна и является одним инструментов повышения качества</w:t>
      </w:r>
      <w:r w:rsidR="00C258E5">
        <w:rPr>
          <w:color w:val="000000"/>
        </w:rPr>
        <w:t xml:space="preserve"> их деятельности</w:t>
      </w:r>
      <w:r w:rsidRPr="00DC6916">
        <w:rPr>
          <w:color w:val="000000"/>
        </w:rPr>
        <w:t>.</w:t>
      </w:r>
      <w:r w:rsidRPr="00A13B27">
        <w:rPr>
          <w:color w:val="000000" w:themeColor="text1"/>
        </w:rPr>
        <w:t xml:space="preserve"> </w:t>
      </w:r>
      <w:r w:rsidR="00CC0358">
        <w:rPr>
          <w:color w:val="000000" w:themeColor="text1"/>
        </w:rPr>
        <w:t xml:space="preserve">Стандарт ГОСТ </w:t>
      </w:r>
      <w:r w:rsidR="00CC0358">
        <w:rPr>
          <w:color w:val="000000" w:themeColor="text1"/>
          <w:lang w:val="en-US"/>
        </w:rPr>
        <w:t>ISO</w:t>
      </w:r>
      <w:r w:rsidR="00CC0358" w:rsidRPr="00CC0358">
        <w:rPr>
          <w:color w:val="000000" w:themeColor="text1"/>
        </w:rPr>
        <w:t>/</w:t>
      </w:r>
      <w:r w:rsidR="00CC0358">
        <w:rPr>
          <w:color w:val="000000" w:themeColor="text1"/>
          <w:lang w:val="en-US"/>
        </w:rPr>
        <w:t>IEC</w:t>
      </w:r>
      <w:r w:rsidR="00CC0358" w:rsidRPr="00CC0358">
        <w:rPr>
          <w:color w:val="000000" w:themeColor="text1"/>
        </w:rPr>
        <w:t xml:space="preserve"> 17025-2019 “</w:t>
      </w:r>
      <w:r w:rsidR="00CC0358">
        <w:rPr>
          <w:color w:val="000000" w:themeColor="text1"/>
        </w:rPr>
        <w:t>Общие требования к компетентности испытательных и калибровочных лабораторий» разработан в соответствии с принципами ИСО 9001, поэтому вполне обоснованным</w:t>
      </w:r>
      <w:r w:rsidR="00C258E5" w:rsidRPr="00C258E5">
        <w:rPr>
          <w:color w:val="000000" w:themeColor="text1"/>
        </w:rPr>
        <w:t xml:space="preserve"> </w:t>
      </w:r>
      <w:r w:rsidR="00C258E5" w:rsidRPr="001C2FCC">
        <w:rPr>
          <w:color w:val="000000" w:themeColor="text1"/>
        </w:rPr>
        <w:t xml:space="preserve">является </w:t>
      </w:r>
      <w:r w:rsidR="00C258E5">
        <w:rPr>
          <w:color w:val="000000" w:themeColor="text1"/>
        </w:rPr>
        <w:t xml:space="preserve">использование требований ISO 9001 </w:t>
      </w:r>
      <w:r w:rsidR="00C258E5" w:rsidRPr="001C2FCC">
        <w:rPr>
          <w:color w:val="000000" w:themeColor="text1"/>
        </w:rPr>
        <w:t xml:space="preserve"> </w:t>
      </w:r>
      <w:r w:rsidR="00C258E5">
        <w:rPr>
          <w:color w:val="000000" w:themeColor="text1"/>
        </w:rPr>
        <w:t>в качестве  основы</w:t>
      </w:r>
      <w:r w:rsidR="00C258E5" w:rsidRPr="001C2FCC">
        <w:rPr>
          <w:color w:val="000000" w:themeColor="text1"/>
        </w:rPr>
        <w:t xml:space="preserve"> не только к формированию модели системы менеджмента ИЛ, но и к проведению внутренних аудитов (п</w:t>
      </w:r>
      <w:r w:rsidR="00C258E5">
        <w:rPr>
          <w:color w:val="000000" w:themeColor="text1"/>
        </w:rPr>
        <w:t xml:space="preserve">роверок) системы менеджмента ИЛ </w:t>
      </w:r>
      <w:r w:rsidR="00C258E5" w:rsidRPr="001C2FCC">
        <w:rPr>
          <w:color w:val="000000" w:themeColor="text1"/>
        </w:rPr>
        <w:t>[2]</w:t>
      </w:r>
      <w:r w:rsidR="00C258E5">
        <w:rPr>
          <w:color w:val="000000" w:themeColor="text1"/>
        </w:rPr>
        <w:t>.</w:t>
      </w:r>
      <w:r w:rsidR="0087309C" w:rsidRPr="0087309C">
        <w:rPr>
          <w:color w:val="000000" w:themeColor="text1"/>
        </w:rPr>
        <w:t xml:space="preserve"> </w:t>
      </w:r>
      <w:r w:rsidR="0087309C" w:rsidRPr="001C2FCC">
        <w:rPr>
          <w:color w:val="000000" w:themeColor="text1"/>
        </w:rPr>
        <w:t xml:space="preserve">Так, </w:t>
      </w:r>
      <w:r w:rsidR="00324442">
        <w:rPr>
          <w:color w:val="000000" w:themeColor="text1"/>
        </w:rPr>
        <w:t>в соответствии с п. 8.8.2</w:t>
      </w:r>
      <w:r w:rsidR="00324442" w:rsidRPr="00324442">
        <w:rPr>
          <w:color w:val="000000" w:themeColor="text1"/>
        </w:rPr>
        <w:t xml:space="preserve"> </w:t>
      </w:r>
      <w:r w:rsidR="00324442">
        <w:rPr>
          <w:color w:val="000000" w:themeColor="text1"/>
        </w:rPr>
        <w:t xml:space="preserve">ГОСТ </w:t>
      </w:r>
      <w:r w:rsidR="00324442">
        <w:rPr>
          <w:color w:val="000000" w:themeColor="text1"/>
          <w:lang w:val="en-US"/>
        </w:rPr>
        <w:t>ISO</w:t>
      </w:r>
      <w:r w:rsidR="00324442" w:rsidRPr="00CC0358">
        <w:rPr>
          <w:color w:val="000000" w:themeColor="text1"/>
        </w:rPr>
        <w:t>/</w:t>
      </w:r>
      <w:r w:rsidR="00324442">
        <w:rPr>
          <w:color w:val="000000" w:themeColor="text1"/>
          <w:lang w:val="en-US"/>
        </w:rPr>
        <w:t>IEC</w:t>
      </w:r>
      <w:r w:rsidR="00324442" w:rsidRPr="00CC0358">
        <w:rPr>
          <w:color w:val="000000" w:themeColor="text1"/>
        </w:rPr>
        <w:t xml:space="preserve"> 17025-2019</w:t>
      </w:r>
      <w:r w:rsidR="00324442">
        <w:rPr>
          <w:color w:val="000000" w:themeColor="text1"/>
        </w:rPr>
        <w:t xml:space="preserve"> </w:t>
      </w:r>
      <w:r w:rsidR="0087309C" w:rsidRPr="001C2FCC">
        <w:rPr>
          <w:color w:val="000000" w:themeColor="text1"/>
        </w:rPr>
        <w:t xml:space="preserve">«лаборатория должна </w:t>
      </w:r>
      <w:r w:rsidR="00324442">
        <w:rPr>
          <w:color w:val="000000" w:themeColor="text1"/>
        </w:rPr>
        <w:t>планировать, внедрять и реализовывать программу аудита, определять критерии и область проведения каждого аудита…»</w:t>
      </w:r>
      <w:r w:rsidR="00081F88">
        <w:rPr>
          <w:color w:val="000000" w:themeColor="text1"/>
        </w:rPr>
        <w:t xml:space="preserve">. </w:t>
      </w:r>
      <w:r w:rsidR="00324442" w:rsidRPr="00324442">
        <w:rPr>
          <w:color w:val="000000" w:themeColor="text1"/>
        </w:rPr>
        <w:t xml:space="preserve"> </w:t>
      </w:r>
    </w:p>
    <w:p w:rsidR="004D282F" w:rsidRDefault="00CC0358" w:rsidP="00A13B27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13B27" w:rsidRPr="001C2FCC">
        <w:rPr>
          <w:color w:val="000000" w:themeColor="text1"/>
        </w:rPr>
        <w:t>Организация и проведение внутреннего аудита СМ</w:t>
      </w:r>
      <w:r w:rsidR="00A13B27">
        <w:rPr>
          <w:color w:val="000000" w:themeColor="text1"/>
        </w:rPr>
        <w:t xml:space="preserve">К испытательной лаборатории осуществляются </w:t>
      </w:r>
      <w:r w:rsidR="00A13B27" w:rsidRPr="001C2FCC">
        <w:rPr>
          <w:color w:val="000000" w:themeColor="text1"/>
        </w:rPr>
        <w:t xml:space="preserve"> в соответствии с требованиями </w:t>
      </w:r>
      <w:r w:rsidR="004D282F">
        <w:rPr>
          <w:color w:val="000000" w:themeColor="text1"/>
          <w:lang w:val="en-US"/>
        </w:rPr>
        <w:t>ISO</w:t>
      </w:r>
      <w:r w:rsidR="004D282F" w:rsidRPr="00324442">
        <w:rPr>
          <w:color w:val="000000" w:themeColor="text1"/>
        </w:rPr>
        <w:t xml:space="preserve"> 19011</w:t>
      </w:r>
      <w:r w:rsidR="004D282F">
        <w:rPr>
          <w:color w:val="000000" w:themeColor="text1"/>
        </w:rPr>
        <w:t xml:space="preserve">:2018 «Руководящие указания по проведению внутреннего аудита». </w:t>
      </w:r>
    </w:p>
    <w:p w:rsidR="003A397B" w:rsidRDefault="003A397B" w:rsidP="003A397B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C6916">
        <w:rPr>
          <w:color w:val="000000"/>
        </w:rPr>
        <w:t xml:space="preserve">Прохождение аккредитации - это официальное подтверждение компетентности лаборатории, гарантия соблюдения всех существующих норм,  требований, правил, которые содержатся в стандартах </w:t>
      </w:r>
      <w:proofErr w:type="gramStart"/>
      <w:r w:rsidRPr="00DC6916">
        <w:rPr>
          <w:color w:val="000000"/>
        </w:rPr>
        <w:t>:Г</w:t>
      </w:r>
      <w:proofErr w:type="gramEnd"/>
      <w:r w:rsidRPr="00DC6916">
        <w:rPr>
          <w:color w:val="000000"/>
        </w:rPr>
        <w:t xml:space="preserve">ОСТ Р 51000.4 - 2011 «Общие требования к аккредитации испытательных лабораторий»; ГОСТ ИСО/МЭК 17025-2009 «Общие требования к компетентности  испытательных и калибровочных лабораторий»; B </w:t>
      </w:r>
      <w:proofErr w:type="gramStart"/>
      <w:r w:rsidRPr="00DC6916">
        <w:rPr>
          <w:color w:val="000000"/>
        </w:rPr>
        <w:t>Приказ</w:t>
      </w:r>
      <w:r>
        <w:rPr>
          <w:color w:val="000000"/>
        </w:rPr>
        <w:t>е</w:t>
      </w:r>
      <w:proofErr w:type="gramEnd"/>
      <w:r w:rsidRPr="00DC6916">
        <w:rPr>
          <w:color w:val="000000"/>
        </w:rPr>
        <w:t xml:space="preserve"> от 30 мая 2014 года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 (с изменениями на 17 марта 2017 года). </w:t>
      </w:r>
    </w:p>
    <w:p w:rsidR="00A3183E" w:rsidRPr="001C2FCC" w:rsidRDefault="00A3183E" w:rsidP="003A397B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lastRenderedPageBreak/>
        <w:t>Внутренний аудит систем менеджмента – один из главных процессов систем менеджмента – это деятельность абсолютно независима в организации (на предприятии) по проверке и оценке ее работы в ее же интересах. Основной целью внутренних аудитов является проверка систем управления, построения внутреннего контроля и всех бизнес-процессов предприятия, и разработка рекомендаций по улучшению работы компании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 </w:t>
      </w:r>
      <w:proofErr w:type="gramStart"/>
      <w:r w:rsidRPr="001C2FCC">
        <w:rPr>
          <w:color w:val="000000" w:themeColor="text1"/>
        </w:rPr>
        <w:t>Различие данных документов состоит в наличии в ГОСТ ИСОМЭК 17025 более жестких, по сравнению с требованиями стандарта ISO 9001, требований к проведению внутренних проверок ИЛ: «программа внутренней проверки должна охватывать все элементы системы менеджмента, включая деятельность по проведению испытаний и/или калибровки», «периодичность проведения внутренних проверок составляет один год», проверка должна касаться также «правильности или достоверности результатов проведенных испытаний и</w:t>
      </w:r>
      <w:proofErr w:type="gramEnd"/>
      <w:r w:rsidRPr="001C2FCC">
        <w:rPr>
          <w:color w:val="000000" w:themeColor="text1"/>
        </w:rPr>
        <w:t xml:space="preserve"> калибровки», а также необходимости извещения заказчиков ИЛ в письменном виде в случае, если «в результате веденной проверки возникают сомнения </w:t>
      </w:r>
      <w:proofErr w:type="gramStart"/>
      <w:r w:rsidRPr="001C2FCC">
        <w:rPr>
          <w:color w:val="000000" w:themeColor="text1"/>
        </w:rPr>
        <w:t>в</w:t>
      </w:r>
      <w:proofErr w:type="gramEnd"/>
      <w:r w:rsidRPr="001C2FCC">
        <w:rPr>
          <w:color w:val="000000" w:themeColor="text1"/>
        </w:rPr>
        <w:t xml:space="preserve"> либо в правильности или достоверности результатов проведенных испытаний и калибровки», что является вполне обоснованным для организации, осуществляющей свою деятельность в сфере оценки соответствия. 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Что касается документов, описывающих процедуру внутренней проверки ИЛ, и формируемых при планировании и проведении указанного аудита, то к ним относится: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а) в соответствии с требованиями ГОСТ ИСОМЭК 17025 Единой национальной системы аккредитации: 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- Руководство по качеству Ил; 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-программа внутренней проверки, включающая область проверяемой деятельности и проверку «внедрения и эффективности предпринятого корректирующего действия» (при наличии такового по результатам предыдущей проверки); 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-протокол несоответствий и план корректирующих действий (формируются в случае наличия «сомнения в эффективности деятельности, либо в правильности или достоверности результатов проведенных испытаний»); документов.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б) в соответствии с требованиями ISO 9001: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- документированная процедура «Внутренние аудиты (проверки)» (как правило, включается в Руководство по качеству ИЛ); 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-программа внутреннего аудита (включает критерии аудита, объем а</w:t>
      </w:r>
      <w:proofErr w:type="gramStart"/>
      <w:r w:rsidRPr="001C2FCC">
        <w:rPr>
          <w:color w:val="000000" w:themeColor="text1"/>
        </w:rPr>
        <w:t>у-</w:t>
      </w:r>
      <w:proofErr w:type="gramEnd"/>
      <w:r w:rsidRPr="001C2FCC">
        <w:rPr>
          <w:color w:val="000000" w:themeColor="text1"/>
        </w:rPr>
        <w:t xml:space="preserve"> </w:t>
      </w:r>
      <w:proofErr w:type="spellStart"/>
      <w:r w:rsidRPr="001C2FCC">
        <w:rPr>
          <w:color w:val="000000" w:themeColor="text1"/>
        </w:rPr>
        <w:t>дита</w:t>
      </w:r>
      <w:proofErr w:type="spellEnd"/>
      <w:r w:rsidRPr="001C2FCC">
        <w:rPr>
          <w:color w:val="000000" w:themeColor="text1"/>
        </w:rPr>
        <w:t>, частоту аудитов и их методы);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- отчет по внутреннему аудиту; 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-записи о ходе и результатах внутреннего аудита. 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lastRenderedPageBreak/>
        <w:t>Планирование внутреннего аудита включает формирование программы аудита документа, содержащего мероприятия по проведению одного или нескольких аудитов, запланированных на конкретный период времени и направленных на достижение конкретной цели [6]. В соответствии с требованиями ГОСТР ИСО 19011, в программу аудита могут быть включены: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-цели для программы аудита и отдельных аудитов; 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-объем/количество/типы/места проведения и график проведения аудитов; 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-процедуры программы аудита; 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-критер</w:t>
      </w:r>
      <w:proofErr w:type="gramStart"/>
      <w:r w:rsidRPr="001C2FCC">
        <w:rPr>
          <w:color w:val="000000" w:themeColor="text1"/>
        </w:rPr>
        <w:t>ии ау</w:t>
      </w:r>
      <w:proofErr w:type="gramEnd"/>
      <w:r w:rsidRPr="001C2FCC">
        <w:rPr>
          <w:color w:val="000000" w:themeColor="text1"/>
        </w:rPr>
        <w:t>дита; методы аудита; 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-формирование групп</w:t>
      </w:r>
      <w:proofErr w:type="gramStart"/>
      <w:r w:rsidRPr="001C2FCC">
        <w:rPr>
          <w:color w:val="000000" w:themeColor="text1"/>
        </w:rPr>
        <w:t>ы(</w:t>
      </w:r>
      <w:proofErr w:type="gramEnd"/>
      <w:r w:rsidRPr="001C2FCC">
        <w:rPr>
          <w:color w:val="000000" w:themeColor="text1"/>
        </w:rPr>
        <w:t>групп) по аудиту; 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-необходимые ресурсы, включая расходы на командировки и размещение аудиторов; 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-процессы, связанные с соблюдением конфиденциальности, обеспечением защиты информации и другие подобные вопросы. 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Программа аудита также включает планирование, обеспечение ресурс</w:t>
      </w:r>
      <w:proofErr w:type="gramStart"/>
      <w:r w:rsidRPr="001C2FCC">
        <w:rPr>
          <w:color w:val="000000" w:themeColor="text1"/>
        </w:rPr>
        <w:t>а-</w:t>
      </w:r>
      <w:proofErr w:type="gramEnd"/>
      <w:r w:rsidRPr="001C2FCC">
        <w:rPr>
          <w:color w:val="000000" w:themeColor="text1"/>
        </w:rPr>
        <w:t xml:space="preserve"> ми, разработку процедур для проведения аудитов в объеме программы. 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Одним из элементов указанного документа являются критерии аудита перечень нормативных документов на соответствие которым должна пр</w:t>
      </w:r>
      <w:proofErr w:type="gramStart"/>
      <w:r w:rsidRPr="001C2FCC">
        <w:rPr>
          <w:color w:val="000000" w:themeColor="text1"/>
        </w:rPr>
        <w:t>о-</w:t>
      </w:r>
      <w:proofErr w:type="gramEnd"/>
      <w:r w:rsidRPr="001C2FCC">
        <w:rPr>
          <w:color w:val="000000" w:themeColor="text1"/>
        </w:rPr>
        <w:t xml:space="preserve"> водиться оценка системы менеджмента. Учитывая изложенный выше по</w:t>
      </w:r>
      <w:proofErr w:type="gramStart"/>
      <w:r w:rsidRPr="001C2FCC">
        <w:rPr>
          <w:color w:val="000000" w:themeColor="text1"/>
        </w:rPr>
        <w:t>д-</w:t>
      </w:r>
      <w:proofErr w:type="gramEnd"/>
      <w:r w:rsidRPr="001C2FCC">
        <w:rPr>
          <w:color w:val="000000" w:themeColor="text1"/>
        </w:rPr>
        <w:t xml:space="preserve"> ход, для ИЛ этот перечень должен включать: ГОСТ ISO 9001, ГОСТ ИСОМЭК 17025, ГОСТ </w:t>
      </w:r>
      <w:proofErr w:type="gramStart"/>
      <w:r w:rsidRPr="001C2FCC">
        <w:rPr>
          <w:color w:val="000000" w:themeColor="text1"/>
        </w:rPr>
        <w:t>Р</w:t>
      </w:r>
      <w:proofErr w:type="gramEnd"/>
      <w:r w:rsidRPr="001C2FCC">
        <w:rPr>
          <w:color w:val="000000" w:themeColor="text1"/>
        </w:rPr>
        <w:t xml:space="preserve"> 51000.4, Приказ Министерства экономического развития Российской Федерации 30.05.2014 </w:t>
      </w:r>
      <w:proofErr w:type="spellStart"/>
      <w:r w:rsidRPr="001C2FCC">
        <w:rPr>
          <w:color w:val="000000" w:themeColor="text1"/>
        </w:rPr>
        <w:t>Ne</w:t>
      </w:r>
      <w:proofErr w:type="spellEnd"/>
      <w:r w:rsidRPr="001C2FCC">
        <w:rPr>
          <w:color w:val="000000" w:themeColor="text1"/>
        </w:rPr>
        <w:t xml:space="preserve"> 326 [4], Приказ Министерства экономического развития Российской Федерации от 01.04.2015 № 194 «Об утверждении Административного регламента по предоставлению Федеральной службой по аккредитации государственной услуги по аккредитации юридических лиц и индивидуальных предпринимателей в национальной системе аккредитации.» [7], Руководство по качеству </w:t>
      </w:r>
      <w:proofErr w:type="spellStart"/>
      <w:r w:rsidRPr="001C2FCC">
        <w:rPr>
          <w:color w:val="000000" w:themeColor="text1"/>
        </w:rPr>
        <w:t>ИЛ,документы</w:t>
      </w:r>
      <w:proofErr w:type="spellEnd"/>
      <w:r w:rsidRPr="001C2FCC">
        <w:rPr>
          <w:color w:val="000000" w:themeColor="text1"/>
        </w:rPr>
        <w:t xml:space="preserve"> системы менеджмента (стандарты организации, методики, положения, должностные инструкции и пр.).</w:t>
      </w:r>
    </w:p>
    <w:p w:rsidR="00A3183E" w:rsidRPr="001C2FCC" w:rsidRDefault="00A3183E" w:rsidP="00A3183E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C2FCC">
        <w:rPr>
          <w:color w:val="000000" w:themeColor="text1"/>
        </w:rPr>
        <w:t> Что касается проведения внутреннего аудита, то проверка должна осуществляться аудиторами, независимыми от данного вида деятельности, но компетентными в вопросах функционирования и аккредитации ИЛ. Пр</w:t>
      </w:r>
      <w:proofErr w:type="gramStart"/>
      <w:r w:rsidRPr="001C2FCC">
        <w:rPr>
          <w:color w:val="000000" w:themeColor="text1"/>
        </w:rPr>
        <w:t>и-</w:t>
      </w:r>
      <w:proofErr w:type="gramEnd"/>
      <w:r w:rsidRPr="001C2FCC">
        <w:rPr>
          <w:color w:val="000000" w:themeColor="text1"/>
        </w:rPr>
        <w:t xml:space="preserve"> чем цели и задачи программы внутреннего аудита ИЛ, и, соответственно, чек-лист аудитора обязательно должны включать вопросы оценки соответствия деятельности ИЛ критериям аккредитации. В этом случае целесообразно при составлении рабочих документов аудитора взять за основу чек- лист, используемый при аккредитации или подтверждении компетентности ИЛ экспертами по аккредитации. Указанные аспекты позволят реализовать процедуру внутреннего аудита ИЛ не ГОСТ ISO 9001, ГОСТ ИСО/МЭК внутренних нормативных док</w:t>
      </w:r>
      <w:proofErr w:type="gramStart"/>
      <w:r w:rsidRPr="001C2FCC">
        <w:rPr>
          <w:color w:val="000000" w:themeColor="text1"/>
        </w:rPr>
        <w:t>у-</w:t>
      </w:r>
      <w:proofErr w:type="gramEnd"/>
      <w:r w:rsidRPr="001C2FCC">
        <w:rPr>
          <w:color w:val="000000" w:themeColor="text1"/>
        </w:rPr>
        <w:t xml:space="preserve"> только посредством </w:t>
      </w:r>
      <w:r w:rsidRPr="001C2FCC">
        <w:rPr>
          <w:color w:val="000000" w:themeColor="text1"/>
        </w:rPr>
        <w:lastRenderedPageBreak/>
        <w:t>оценки соответствия ИЛ требованиям документов, но и критериям аккредитации, а результаты внутреннего определить возможности для улучшения результативности системы менеджмента и оценить вероятность успешного прохождения аккредитации и/или подтверждения компетентности ИЛ. </w:t>
      </w:r>
    </w:p>
    <w:p w:rsidR="00DC6916" w:rsidRDefault="007E4E21" w:rsidP="00056F78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C6916">
        <w:rPr>
          <w:color w:val="000000"/>
        </w:rPr>
        <w:t xml:space="preserve">Целью является разработка мероприятий по проведению внутреннего </w:t>
      </w:r>
      <w:proofErr w:type="gramStart"/>
      <w:r w:rsidRPr="00DC6916">
        <w:rPr>
          <w:color w:val="000000"/>
        </w:rPr>
        <w:t>аудита системы менеджмента качества испытательной лаборатории</w:t>
      </w:r>
      <w:proofErr w:type="gramEnd"/>
      <w:r w:rsidRPr="00DC6916">
        <w:rPr>
          <w:color w:val="000000"/>
        </w:rPr>
        <w:t xml:space="preserve"> ФБУ «Красноярский ЦСМ». </w:t>
      </w:r>
    </w:p>
    <w:p w:rsidR="007E4E21" w:rsidRPr="00DC6916" w:rsidRDefault="007E4E21" w:rsidP="00056F78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C6916">
        <w:rPr>
          <w:color w:val="000000"/>
        </w:rPr>
        <w:t>Для реализации поставленной цели необходимо решить следующие задачи:</w:t>
      </w:r>
    </w:p>
    <w:p w:rsidR="007E4E21" w:rsidRPr="00DC6916" w:rsidRDefault="007E4E21" w:rsidP="00056F78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C6916">
        <w:rPr>
          <w:color w:val="000000"/>
        </w:rPr>
        <w:t>-определить критерии внутреннего аудита ИЛ; </w:t>
      </w:r>
    </w:p>
    <w:p w:rsidR="007E4E21" w:rsidRPr="00DC6916" w:rsidRDefault="007E4E21" w:rsidP="00056F78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C6916">
        <w:rPr>
          <w:color w:val="000000"/>
        </w:rPr>
        <w:t>-разработать контрольные листы для проведения внутреннего аудита ИЛ;</w:t>
      </w:r>
    </w:p>
    <w:p w:rsidR="007E4E21" w:rsidRDefault="007E4E21" w:rsidP="00056F78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C6916">
        <w:rPr>
          <w:color w:val="000000"/>
        </w:rPr>
        <w:t>-разработать стандарт организации « Система менеджмента качества. Порядок проведения внутреннего аудита ИЛ» для ФБУ «Красноярский ЦСМ».</w:t>
      </w:r>
    </w:p>
    <w:p w:rsidR="00056F78" w:rsidRPr="00F07E7A" w:rsidRDefault="00056F78" w:rsidP="00056F7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07E7A">
        <w:rPr>
          <w:color w:val="000000"/>
        </w:rPr>
        <w:t>Для того чтобы облегчить разработку программы проведения внутреннего аудита испытательной лаборатории построим матрица формирования критериев системы менеджмента качества (Таблица 2)</w:t>
      </w:r>
    </w:p>
    <w:p w:rsidR="001C2FCC" w:rsidRDefault="001C2FCC" w:rsidP="00F07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E7A" w:rsidRPr="002253DC" w:rsidRDefault="001C2FCC" w:rsidP="00F07E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- </w:t>
      </w:r>
      <w:r w:rsidR="00F07E7A">
        <w:rPr>
          <w:rFonts w:ascii="Times New Roman" w:hAnsi="Times New Roman" w:cs="Times New Roman"/>
          <w:sz w:val="24"/>
          <w:szCs w:val="24"/>
        </w:rPr>
        <w:t>Матрица</w:t>
      </w:r>
      <w:r w:rsidR="00F07E7A" w:rsidRPr="002253DC">
        <w:rPr>
          <w:rFonts w:ascii="Times New Roman" w:hAnsi="Times New Roman" w:cs="Times New Roman"/>
          <w:sz w:val="24"/>
          <w:szCs w:val="24"/>
        </w:rPr>
        <w:t xml:space="preserve"> формирования критериев СМК.</w:t>
      </w:r>
    </w:p>
    <w:tbl>
      <w:tblPr>
        <w:tblStyle w:val="a4"/>
        <w:tblW w:w="0" w:type="auto"/>
        <w:tblInd w:w="108" w:type="dxa"/>
        <w:tblLook w:val="04A0"/>
      </w:tblPr>
      <w:tblGrid>
        <w:gridCol w:w="2308"/>
        <w:gridCol w:w="2430"/>
        <w:gridCol w:w="2431"/>
        <w:gridCol w:w="2431"/>
      </w:tblGrid>
      <w:tr w:rsidR="00F07E7A" w:rsidTr="001C2FCC">
        <w:trPr>
          <w:trHeight w:val="1273"/>
        </w:trPr>
        <w:tc>
          <w:tcPr>
            <w:tcW w:w="2122" w:type="dxa"/>
            <w:vMerge w:val="restart"/>
          </w:tcPr>
          <w:p w:rsidR="00F07E7A" w:rsidRPr="001C2FCC" w:rsidRDefault="00F07E7A" w:rsidP="004D282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C2FCC">
              <w:rPr>
                <w:sz w:val="24"/>
                <w:szCs w:val="24"/>
              </w:rPr>
              <w:t>Процессы СМК испытательной лаборатории</w:t>
            </w:r>
          </w:p>
        </w:tc>
        <w:tc>
          <w:tcPr>
            <w:tcW w:w="7292" w:type="dxa"/>
            <w:gridSpan w:val="3"/>
          </w:tcPr>
          <w:p w:rsidR="00F07E7A" w:rsidRPr="001C2FCC" w:rsidRDefault="00F07E7A" w:rsidP="004D282F">
            <w:pPr>
              <w:pStyle w:val="1"/>
              <w:tabs>
                <w:tab w:val="left" w:pos="1122"/>
                <w:tab w:val="center" w:pos="3586"/>
              </w:tabs>
              <w:jc w:val="center"/>
              <w:outlineLvl w:val="0"/>
              <w:rPr>
                <w:sz w:val="24"/>
                <w:szCs w:val="24"/>
              </w:rPr>
            </w:pPr>
            <w:r w:rsidRPr="001C2FCC">
              <w:rPr>
                <w:sz w:val="24"/>
                <w:szCs w:val="24"/>
              </w:rPr>
              <w:t>Проверяемые элементы требований</w:t>
            </w:r>
          </w:p>
        </w:tc>
      </w:tr>
      <w:tr w:rsidR="00F07E7A" w:rsidTr="001C2FCC">
        <w:trPr>
          <w:trHeight w:val="1205"/>
        </w:trPr>
        <w:tc>
          <w:tcPr>
            <w:tcW w:w="2122" w:type="dxa"/>
            <w:vMerge/>
          </w:tcPr>
          <w:p w:rsidR="00F07E7A" w:rsidRPr="001C2FCC" w:rsidRDefault="00F07E7A" w:rsidP="004D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 </w:t>
            </w:r>
            <w:proofErr w:type="gramStart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ИСО 9001-2015</w:t>
            </w:r>
          </w:p>
        </w:tc>
        <w:tc>
          <w:tcPr>
            <w:tcW w:w="2431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ГОСТ ИСО\МЭК 17025-2009</w:t>
            </w:r>
          </w:p>
        </w:tc>
        <w:tc>
          <w:tcPr>
            <w:tcW w:w="2431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ОТ 30 МАЯ 2014 ГОДА №326</w:t>
            </w:r>
          </w:p>
        </w:tc>
      </w:tr>
      <w:tr w:rsidR="00F07E7A" w:rsidTr="001C2FCC">
        <w:trPr>
          <w:trHeight w:val="1044"/>
        </w:trPr>
        <w:tc>
          <w:tcPr>
            <w:tcW w:w="2122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СМК со стороны руководства</w:t>
            </w:r>
          </w:p>
        </w:tc>
        <w:tc>
          <w:tcPr>
            <w:tcW w:w="2430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9.3.1;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9.3.2;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9.3.3.</w:t>
            </w:r>
          </w:p>
        </w:tc>
        <w:tc>
          <w:tcPr>
            <w:tcW w:w="2431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4.15.1;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4.15.2.</w:t>
            </w:r>
          </w:p>
        </w:tc>
        <w:tc>
          <w:tcPr>
            <w:tcW w:w="2431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A" w:rsidTr="001C2FCC">
        <w:trPr>
          <w:trHeight w:val="1004"/>
        </w:trPr>
        <w:tc>
          <w:tcPr>
            <w:tcW w:w="2122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СМК</w:t>
            </w:r>
          </w:p>
        </w:tc>
        <w:tc>
          <w:tcPr>
            <w:tcW w:w="2430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6.1;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6.2;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431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A" w:rsidTr="001C2FCC">
        <w:trPr>
          <w:trHeight w:val="1020"/>
        </w:trPr>
        <w:tc>
          <w:tcPr>
            <w:tcW w:w="2122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Процессы, связанные с потребителем</w:t>
            </w:r>
          </w:p>
        </w:tc>
        <w:tc>
          <w:tcPr>
            <w:tcW w:w="2430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5.1.2;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8.2.1;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8.3.1-8.3.6.</w:t>
            </w:r>
          </w:p>
        </w:tc>
        <w:tc>
          <w:tcPr>
            <w:tcW w:w="2431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4.7;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4.8;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31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7A" w:rsidTr="001C2FCC">
        <w:trPr>
          <w:trHeight w:val="571"/>
        </w:trPr>
        <w:tc>
          <w:tcPr>
            <w:tcW w:w="2122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аудит</w:t>
            </w:r>
          </w:p>
        </w:tc>
        <w:tc>
          <w:tcPr>
            <w:tcW w:w="2430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431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431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F07E7A" w:rsidTr="001C2FCC">
        <w:trPr>
          <w:trHeight w:val="974"/>
        </w:trPr>
        <w:tc>
          <w:tcPr>
            <w:tcW w:w="2122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документацией</w:t>
            </w:r>
          </w:p>
        </w:tc>
        <w:tc>
          <w:tcPr>
            <w:tcW w:w="2430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7.5.1;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7.5.2;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7.5.3.</w:t>
            </w:r>
          </w:p>
        </w:tc>
        <w:tc>
          <w:tcPr>
            <w:tcW w:w="2431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4.3.1-4.3.3;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5.10.1-5.10.9.</w:t>
            </w:r>
          </w:p>
        </w:tc>
        <w:tc>
          <w:tcPr>
            <w:tcW w:w="2431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23.7;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23.14.</w:t>
            </w:r>
          </w:p>
        </w:tc>
      </w:tr>
      <w:tr w:rsidR="00F07E7A" w:rsidTr="001C2FCC">
        <w:trPr>
          <w:trHeight w:val="1433"/>
        </w:trPr>
        <w:tc>
          <w:tcPr>
            <w:tcW w:w="2122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Прослеживаемость</w:t>
            </w:r>
            <w:proofErr w:type="spellEnd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измерений</w:t>
            </w:r>
          </w:p>
        </w:tc>
        <w:tc>
          <w:tcPr>
            <w:tcW w:w="2430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7.1.3-7.1.5;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7.2;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8.1-8.2</w:t>
            </w:r>
          </w:p>
        </w:tc>
        <w:tc>
          <w:tcPr>
            <w:tcW w:w="2431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5.2-5.3;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5.5;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5.6.1-5.6.3;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431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19-21;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23.12-23.15;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23.9;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23.19-23.21</w:t>
            </w:r>
          </w:p>
        </w:tc>
      </w:tr>
      <w:tr w:rsidR="00F07E7A" w:rsidTr="001C2FCC">
        <w:trPr>
          <w:trHeight w:val="1273"/>
        </w:trPr>
        <w:tc>
          <w:tcPr>
            <w:tcW w:w="2122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качества результатов испытаний и калибровки</w:t>
            </w:r>
          </w:p>
        </w:tc>
        <w:tc>
          <w:tcPr>
            <w:tcW w:w="2430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7.1.5.2;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431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5.8;</w:t>
            </w:r>
          </w:p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2431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F07E7A" w:rsidTr="001C2FCC">
        <w:trPr>
          <w:trHeight w:val="893"/>
        </w:trPr>
        <w:tc>
          <w:tcPr>
            <w:tcW w:w="2122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Приобретение, учёт, списание</w:t>
            </w:r>
          </w:p>
        </w:tc>
        <w:tc>
          <w:tcPr>
            <w:tcW w:w="2430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7.1.3; 7.1.5.1</w:t>
            </w:r>
          </w:p>
        </w:tc>
        <w:tc>
          <w:tcPr>
            <w:tcW w:w="2431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5.5; 4.6</w:t>
            </w:r>
          </w:p>
        </w:tc>
        <w:tc>
          <w:tcPr>
            <w:tcW w:w="2431" w:type="dxa"/>
          </w:tcPr>
          <w:p w:rsidR="00F07E7A" w:rsidRPr="001C2FCC" w:rsidRDefault="00F07E7A" w:rsidP="004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bookmarkStart w:id="0" w:name="_GoBack"/>
        <w:bookmarkEnd w:id="0"/>
      </w:tr>
    </w:tbl>
    <w:p w:rsidR="001C2FCC" w:rsidRDefault="001C2FCC" w:rsidP="00F07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E7A" w:rsidRPr="001C2FCC" w:rsidRDefault="00F07E7A" w:rsidP="001C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CC">
        <w:rPr>
          <w:rFonts w:ascii="Times New Roman" w:hAnsi="Times New Roman" w:cs="Times New Roman"/>
          <w:sz w:val="24"/>
          <w:szCs w:val="24"/>
        </w:rPr>
        <w:t xml:space="preserve">Данная таблица наглядно отображает взаимосвязи требований ГОСТ </w:t>
      </w:r>
      <w:proofErr w:type="gramStart"/>
      <w:r w:rsidRPr="001C2F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2FCC">
        <w:rPr>
          <w:rFonts w:ascii="Times New Roman" w:hAnsi="Times New Roman" w:cs="Times New Roman"/>
          <w:sz w:val="24"/>
          <w:szCs w:val="24"/>
        </w:rPr>
        <w:t xml:space="preserve"> ИСО 9001-2015, Приказа от 30 мая 2014 года N 326, ГОСТ ИСОМЭК 17025- 2009 с процессами системы менеджмента качества испытательной лаборатории. </w:t>
      </w:r>
    </w:p>
    <w:p w:rsidR="00F07E7A" w:rsidRPr="001C2FCC" w:rsidRDefault="00F07E7A" w:rsidP="001C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CC">
        <w:rPr>
          <w:rFonts w:ascii="Times New Roman" w:hAnsi="Times New Roman" w:cs="Times New Roman"/>
          <w:sz w:val="24"/>
          <w:szCs w:val="24"/>
        </w:rPr>
        <w:t xml:space="preserve">Проведение внутренних аудитов осуществляется по разработанной программе аудита. Программа </w:t>
      </w:r>
      <w:proofErr w:type="spellStart"/>
      <w:proofErr w:type="gramStart"/>
      <w:r w:rsidRPr="001C2FCC">
        <w:rPr>
          <w:rFonts w:ascii="Times New Roman" w:hAnsi="Times New Roman" w:cs="Times New Roman"/>
          <w:sz w:val="24"/>
          <w:szCs w:val="24"/>
        </w:rPr>
        <w:t>аудита-это</w:t>
      </w:r>
      <w:proofErr w:type="spellEnd"/>
      <w:proofErr w:type="gramEnd"/>
      <w:r w:rsidRPr="001C2FCC">
        <w:rPr>
          <w:rFonts w:ascii="Times New Roman" w:hAnsi="Times New Roman" w:cs="Times New Roman"/>
          <w:sz w:val="24"/>
          <w:szCs w:val="24"/>
        </w:rPr>
        <w:t xml:space="preserve"> описание мероприятий по проведению аудита. В программу проведения аудита могут быть включены: цель проведения аудита; время; состав аудиторской группы; объекты проверки (процессы СМК подразделения организации); критер</w:t>
      </w:r>
      <w:proofErr w:type="gramStart"/>
      <w:r w:rsidRPr="001C2FC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C2FCC">
        <w:rPr>
          <w:rFonts w:ascii="Times New Roman" w:hAnsi="Times New Roman" w:cs="Times New Roman"/>
          <w:sz w:val="24"/>
          <w:szCs w:val="24"/>
        </w:rPr>
        <w:t xml:space="preserve">дита. </w:t>
      </w:r>
    </w:p>
    <w:p w:rsidR="00F07E7A" w:rsidRPr="001C2FCC" w:rsidRDefault="00F07E7A" w:rsidP="001C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CC">
        <w:rPr>
          <w:rFonts w:ascii="Times New Roman" w:hAnsi="Times New Roman" w:cs="Times New Roman"/>
          <w:sz w:val="24"/>
          <w:szCs w:val="24"/>
        </w:rPr>
        <w:t xml:space="preserve">Критерии аудита - это перечень нормативных документов на </w:t>
      </w:r>
      <w:proofErr w:type="gramStart"/>
      <w:r w:rsidRPr="001C2FCC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1C2FCC">
        <w:rPr>
          <w:rFonts w:ascii="Times New Roman" w:hAnsi="Times New Roman" w:cs="Times New Roman"/>
          <w:sz w:val="24"/>
          <w:szCs w:val="24"/>
        </w:rPr>
        <w:t xml:space="preserve"> которым должна проводиться оценка системы менеджмента. Для испытательной лаборатории этот перечень должен включать: ГОСТ </w:t>
      </w:r>
      <w:proofErr w:type="gramStart"/>
      <w:r w:rsidRPr="001C2F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2FCC">
        <w:rPr>
          <w:rFonts w:ascii="Times New Roman" w:hAnsi="Times New Roman" w:cs="Times New Roman"/>
          <w:sz w:val="24"/>
          <w:szCs w:val="24"/>
        </w:rPr>
        <w:t xml:space="preserve"> ИСО 9001-2015, ГОСТ ИСОМЭК 17025, ГОСТ Р 51000.4, Приказ Министерства экономического развития Российской Федерации от 30.05.2014 No326,  Руководство по качеству ИЛ, документы системы менеджмента (стандарты организации, методики, положения, должностные инструкции и пр.). </w:t>
      </w:r>
    </w:p>
    <w:p w:rsidR="00F07E7A" w:rsidRPr="001C2FCC" w:rsidRDefault="00F07E7A" w:rsidP="001C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CC">
        <w:rPr>
          <w:rFonts w:ascii="Times New Roman" w:hAnsi="Times New Roman" w:cs="Times New Roman"/>
          <w:sz w:val="24"/>
          <w:szCs w:val="24"/>
        </w:rPr>
        <w:t>Исходя из построенной таблицы, разработаем программу проведения внутреннего аудита СМК испытательной лаборатории. В программе прописывается: кто утверждает программу, цель, область и критер</w:t>
      </w:r>
      <w:proofErr w:type="gramStart"/>
      <w:r w:rsidRPr="001C2FC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C2FCC">
        <w:rPr>
          <w:rFonts w:ascii="Times New Roman" w:hAnsi="Times New Roman" w:cs="Times New Roman"/>
          <w:sz w:val="24"/>
          <w:szCs w:val="24"/>
        </w:rPr>
        <w:t xml:space="preserve">дита. Цель проведения аудита: установление степени соответствия системы менеджмента ФБУ «Красноярский ЦСМ » требованиям ГОСТ </w:t>
      </w:r>
      <w:proofErr w:type="gramStart"/>
      <w:r w:rsidRPr="001C2F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2FCC">
        <w:rPr>
          <w:rFonts w:ascii="Times New Roman" w:hAnsi="Times New Roman" w:cs="Times New Roman"/>
          <w:sz w:val="24"/>
          <w:szCs w:val="24"/>
        </w:rPr>
        <w:t xml:space="preserve"> ИСО 9001-2015, Приказ от 30 мая 2014 года N 326 (с изменениями на 17 марта 2017 года), ГОСТ ИСОЛМЭК 17025-2009. Также указывается: время проведения внутреннего аудита и состав аудиторской группы, объекты аудита. Объектами являются процессы системы менеджмента качества испытательной лаборатории. Также на основе таблицы формирования критериев аудита СМК испытательной лаборатории, устанавливается критер</w:t>
      </w:r>
      <w:proofErr w:type="gramStart"/>
      <w:r w:rsidRPr="001C2FC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C2FCC">
        <w:rPr>
          <w:rFonts w:ascii="Times New Roman" w:hAnsi="Times New Roman" w:cs="Times New Roman"/>
          <w:sz w:val="24"/>
          <w:szCs w:val="24"/>
        </w:rPr>
        <w:t xml:space="preserve">дита для каждого объекта, которые также указываются в программе в виде перечисления ГОСТОВ и Приказов, по которым будут оцениваться объекты. Напротив каждого процесса системы менеджмента </w:t>
      </w:r>
      <w:r w:rsidRPr="001C2FCC">
        <w:rPr>
          <w:rFonts w:ascii="Times New Roman" w:hAnsi="Times New Roman" w:cs="Times New Roman"/>
          <w:sz w:val="24"/>
          <w:szCs w:val="24"/>
        </w:rPr>
        <w:lastRenderedPageBreak/>
        <w:t xml:space="preserve">качества испытательной лаборатории записывается пункты из ГОСТОВ и Приказов, которые соответствуют процессам СМК испытательной лаборатории. В программе аудита должна быть информация о том, с кем согласованна программа внутреннего аудита. Готовая программа внутреннего аудита ИЛ представлена в Приложение 1. </w:t>
      </w:r>
    </w:p>
    <w:p w:rsidR="00F07E7A" w:rsidRPr="001C2FCC" w:rsidRDefault="00F07E7A" w:rsidP="001C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CC">
        <w:rPr>
          <w:rFonts w:ascii="Times New Roman" w:hAnsi="Times New Roman" w:cs="Times New Roman"/>
          <w:sz w:val="24"/>
          <w:szCs w:val="24"/>
        </w:rPr>
        <w:t>Программа проведения внутреннего аудита составляется на основании годового плана-графика проведения аудитов, который нужен для планирования внутренних аудитов на весь год.</w:t>
      </w:r>
    </w:p>
    <w:p w:rsidR="00F07E7A" w:rsidRPr="001C2FCC" w:rsidRDefault="00F07E7A" w:rsidP="001C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CC">
        <w:rPr>
          <w:rFonts w:ascii="Times New Roman" w:hAnsi="Times New Roman" w:cs="Times New Roman"/>
          <w:sz w:val="24"/>
          <w:szCs w:val="24"/>
        </w:rPr>
        <w:t xml:space="preserve"> В годовом плане-графике указывается: кем утверждается план, информация на какой год планируется аудит, сроки проведения аудитов, запланированных на конкретный период времени и расписанных на весь год; проверяемые требования, объекты проверки (процессы СМК или подразделения организации) и отметка о проведен</w:t>
      </w:r>
      <w:proofErr w:type="gramStart"/>
      <w:r w:rsidRPr="001C2FC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C2FCC">
        <w:rPr>
          <w:rFonts w:ascii="Times New Roman" w:hAnsi="Times New Roman" w:cs="Times New Roman"/>
          <w:sz w:val="24"/>
          <w:szCs w:val="24"/>
        </w:rPr>
        <w:t>дита. Также план-график подписывает тот, кто разрабатывает его, и те, с кем согласован годовой план.</w:t>
      </w:r>
    </w:p>
    <w:p w:rsidR="00F07E7A" w:rsidRPr="001C2FCC" w:rsidRDefault="00F07E7A" w:rsidP="001C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CC">
        <w:rPr>
          <w:rFonts w:ascii="Times New Roman" w:hAnsi="Times New Roman" w:cs="Times New Roman"/>
          <w:sz w:val="24"/>
          <w:szCs w:val="24"/>
        </w:rPr>
        <w:t xml:space="preserve">Каждый аудитор в соответствии с утвержденной программой проведения аудита составляет контрольный лист. Контрольный лист-это анкета, содержащая перечень вопросов для руководителя проверяемого процесса СМК. Контрольные листы разрабатывают на основании программы проверки. </w:t>
      </w:r>
    </w:p>
    <w:p w:rsidR="00F07E7A" w:rsidRPr="001C2FCC" w:rsidRDefault="00F07E7A" w:rsidP="001C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CC">
        <w:rPr>
          <w:rFonts w:ascii="Times New Roman" w:hAnsi="Times New Roman" w:cs="Times New Roman"/>
          <w:sz w:val="24"/>
          <w:szCs w:val="24"/>
        </w:rPr>
        <w:t>Суть контрольного листа в том, что в отдельном документе как правило, коротком и действительно занимающем не более одного листа, фиксируются требования, которые будут проверяться.</w:t>
      </w:r>
    </w:p>
    <w:p w:rsidR="00F07E7A" w:rsidRPr="001C2FCC" w:rsidRDefault="00F07E7A" w:rsidP="001C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CC">
        <w:rPr>
          <w:rFonts w:ascii="Times New Roman" w:hAnsi="Times New Roman" w:cs="Times New Roman"/>
          <w:sz w:val="24"/>
          <w:szCs w:val="24"/>
        </w:rPr>
        <w:t xml:space="preserve">Иногда эти требования записываются в форме вопросов. Часто аудиторы стараются разработать контрольные листы для постоянного использования при аудите одного и того же объекта (процесса или подразделения). Это не лишено смысла, так как часть критериев остается неизменной от аудита к аудиту. </w:t>
      </w:r>
    </w:p>
    <w:p w:rsidR="00F07E7A" w:rsidRPr="001C2FCC" w:rsidRDefault="00F07E7A" w:rsidP="001C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CC">
        <w:rPr>
          <w:rFonts w:ascii="Times New Roman" w:hAnsi="Times New Roman" w:cs="Times New Roman"/>
          <w:sz w:val="24"/>
          <w:szCs w:val="24"/>
        </w:rPr>
        <w:t>Однако другие критерии проверки, прежде всего внутренние требования самой организации, сформулированные в нормативной документации, следует подбирать непосредственно в ходе подготовки к конкретному аудиту. Все дело в том, что собственные требования организации в отношении работы процессов и подразделений более изменчивы.</w:t>
      </w:r>
    </w:p>
    <w:p w:rsidR="00F07E7A" w:rsidRPr="001C2FCC" w:rsidRDefault="00F07E7A" w:rsidP="001C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CC">
        <w:rPr>
          <w:rFonts w:ascii="Times New Roman" w:hAnsi="Times New Roman" w:cs="Times New Roman"/>
          <w:sz w:val="24"/>
          <w:szCs w:val="24"/>
        </w:rPr>
        <w:t>Главная задача составления контрольного листа заключается в предупреждении руководителя о том, что будет проверено в его процессе, что оно могло подготовиться. Второй важной задачей является ознакомление руководителя с вопросами, которые могут быть ему будут заданы при проверке.</w:t>
      </w:r>
    </w:p>
    <w:p w:rsidR="00F07E7A" w:rsidRPr="001C2FCC" w:rsidRDefault="00F07E7A" w:rsidP="001C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CC">
        <w:rPr>
          <w:rFonts w:ascii="Times New Roman" w:hAnsi="Times New Roman" w:cs="Times New Roman"/>
          <w:sz w:val="24"/>
          <w:szCs w:val="24"/>
        </w:rPr>
        <w:t>Разработаем контрольные листы для некоторых процессов системы менеджмента качества испытательной лаборатории ФБУ «</w:t>
      </w:r>
      <w:proofErr w:type="gramStart"/>
      <w:r w:rsidRPr="001C2FCC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1C2FCC">
        <w:rPr>
          <w:rFonts w:ascii="Times New Roman" w:hAnsi="Times New Roman" w:cs="Times New Roman"/>
          <w:sz w:val="24"/>
          <w:szCs w:val="24"/>
        </w:rPr>
        <w:t xml:space="preserve"> ЦСМ». В контрольном листе прописывается: название процесса, который проверяется; кто является проверяющим и дата; вопросы для анализа конкретного процесса в организации. А также указываются: критерии </w:t>
      </w:r>
      <w:r w:rsidRPr="001C2FCC">
        <w:rPr>
          <w:rFonts w:ascii="Times New Roman" w:hAnsi="Times New Roman" w:cs="Times New Roman"/>
          <w:sz w:val="24"/>
          <w:szCs w:val="24"/>
        </w:rPr>
        <w:lastRenderedPageBreak/>
        <w:t xml:space="preserve">проверки пункта ГОСТ </w:t>
      </w:r>
      <w:proofErr w:type="gramStart"/>
      <w:r w:rsidRPr="001C2F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2FCC">
        <w:rPr>
          <w:rFonts w:ascii="Times New Roman" w:hAnsi="Times New Roman" w:cs="Times New Roman"/>
          <w:sz w:val="24"/>
          <w:szCs w:val="24"/>
        </w:rPr>
        <w:t xml:space="preserve"> ИСО 9001-2015, Приказ от 30 мая 2014 года N 326(с изменениями на 17 марта 2017 года), ГОСТ ИС ОМЭК 17025-2009: оценка выполнения требований; пояснение. Способ оценки выполнения требования создадим в виде ответов</w:t>
      </w:r>
      <w:proofErr w:type="gramStart"/>
      <w:r w:rsidRPr="001C2FC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C2FCC">
        <w:rPr>
          <w:rFonts w:ascii="Times New Roman" w:hAnsi="Times New Roman" w:cs="Times New Roman"/>
          <w:sz w:val="24"/>
          <w:szCs w:val="24"/>
        </w:rPr>
        <w:t xml:space="preserve">, Б и В: </w:t>
      </w:r>
    </w:p>
    <w:p w:rsidR="00F07E7A" w:rsidRPr="001C2FCC" w:rsidRDefault="00F07E7A" w:rsidP="001C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FC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C2FCC">
        <w:rPr>
          <w:rFonts w:ascii="Times New Roman" w:hAnsi="Times New Roman" w:cs="Times New Roman"/>
          <w:sz w:val="24"/>
          <w:szCs w:val="24"/>
        </w:rPr>
        <w:t xml:space="preserve"> выполнено;</w:t>
      </w:r>
    </w:p>
    <w:p w:rsidR="00F07E7A" w:rsidRPr="001C2FCC" w:rsidRDefault="00F07E7A" w:rsidP="001C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FCC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1C2FCC">
        <w:rPr>
          <w:rFonts w:ascii="Times New Roman" w:hAnsi="Times New Roman" w:cs="Times New Roman"/>
          <w:sz w:val="24"/>
          <w:szCs w:val="24"/>
        </w:rPr>
        <w:t xml:space="preserve"> выполнено не в полном объеме (частично); </w:t>
      </w:r>
    </w:p>
    <w:p w:rsidR="00F07E7A" w:rsidRPr="001C2FCC" w:rsidRDefault="00F07E7A" w:rsidP="001C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2FCC">
        <w:rPr>
          <w:rFonts w:ascii="Times New Roman" w:hAnsi="Times New Roman" w:cs="Times New Roman"/>
          <w:sz w:val="24"/>
          <w:szCs w:val="24"/>
        </w:rPr>
        <w:t>В-не</w:t>
      </w:r>
      <w:proofErr w:type="spellEnd"/>
      <w:proofErr w:type="gramEnd"/>
      <w:r w:rsidRPr="001C2FCC">
        <w:rPr>
          <w:rFonts w:ascii="Times New Roman" w:hAnsi="Times New Roman" w:cs="Times New Roman"/>
          <w:sz w:val="24"/>
          <w:szCs w:val="24"/>
        </w:rPr>
        <w:t xml:space="preserve"> выполнено.</w:t>
      </w:r>
    </w:p>
    <w:p w:rsidR="00F07E7A" w:rsidRPr="001C2FCC" w:rsidRDefault="00F07E7A" w:rsidP="001C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CC">
        <w:rPr>
          <w:rFonts w:ascii="Times New Roman" w:hAnsi="Times New Roman" w:cs="Times New Roman"/>
          <w:sz w:val="24"/>
          <w:szCs w:val="24"/>
        </w:rPr>
        <w:t xml:space="preserve">На основании ГОСТ </w:t>
      </w:r>
      <w:proofErr w:type="gramStart"/>
      <w:r w:rsidRPr="001C2F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2FCC">
        <w:rPr>
          <w:rFonts w:ascii="Times New Roman" w:hAnsi="Times New Roman" w:cs="Times New Roman"/>
          <w:sz w:val="24"/>
          <w:szCs w:val="24"/>
        </w:rPr>
        <w:t xml:space="preserve"> ИСО 9001-2015, Приказа от 30 мая 2014 года 326 (с изменениями на 17 марта 2017 года), ГОСТ ИСОМЭК 17025-2009 разработаем вопросы, которые будут находиться в контрольных листах. Вопросы и пункты ГОСТ </w:t>
      </w:r>
      <w:proofErr w:type="gramStart"/>
      <w:r w:rsidRPr="001C2F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2FCC">
        <w:rPr>
          <w:rFonts w:ascii="Times New Roman" w:hAnsi="Times New Roman" w:cs="Times New Roman"/>
          <w:sz w:val="24"/>
          <w:szCs w:val="24"/>
        </w:rPr>
        <w:t xml:space="preserve"> ИСО 9001 —2015, Приказа от 30 мая 2014 года N 326 (с изменениями на 17 марта 2017 года), ГОСТ ИСОМЭК 17025-2009 для удобства занесем в таблицы. </w:t>
      </w:r>
    </w:p>
    <w:p w:rsidR="001C2FCC" w:rsidRPr="001C2FCC" w:rsidRDefault="001C2FCC" w:rsidP="001C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CC">
        <w:rPr>
          <w:rFonts w:ascii="Times New Roman" w:hAnsi="Times New Roman" w:cs="Times New Roman"/>
          <w:sz w:val="24"/>
          <w:szCs w:val="24"/>
        </w:rPr>
        <w:t>Разработанный контрольный лист для процесса «Анализ СМК со стороны руководителя» представлен в приложении 1.</w:t>
      </w:r>
    </w:p>
    <w:p w:rsidR="001C2FCC" w:rsidRPr="001C2FCC" w:rsidRDefault="001C2FCC" w:rsidP="001C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CC">
        <w:rPr>
          <w:rFonts w:ascii="Times New Roman" w:hAnsi="Times New Roman" w:cs="Times New Roman"/>
          <w:sz w:val="24"/>
          <w:szCs w:val="24"/>
        </w:rPr>
        <w:t xml:space="preserve">Вопросы и пункты ГОСТ </w:t>
      </w:r>
      <w:proofErr w:type="gramStart"/>
      <w:r w:rsidRPr="001C2F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2FCC">
        <w:rPr>
          <w:rFonts w:ascii="Times New Roman" w:hAnsi="Times New Roman" w:cs="Times New Roman"/>
          <w:sz w:val="24"/>
          <w:szCs w:val="24"/>
        </w:rPr>
        <w:t xml:space="preserve"> 9001-2015 для процесса «Планирование СМК» представлены в таблице 4.</w:t>
      </w:r>
    </w:p>
    <w:p w:rsidR="001C2FCC" w:rsidRPr="00826D2A" w:rsidRDefault="001C2FCC" w:rsidP="001C2F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FCC" w:rsidRPr="00826D2A" w:rsidRDefault="001C2FCC" w:rsidP="001C2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D2A">
        <w:rPr>
          <w:rFonts w:ascii="Times New Roman" w:hAnsi="Times New Roman" w:cs="Times New Roman"/>
          <w:sz w:val="24"/>
          <w:szCs w:val="24"/>
        </w:rPr>
        <w:t>Таблица 4-вопросы для процесса СМК «Планирование СМК» испытательной лаборатории.</w:t>
      </w:r>
    </w:p>
    <w:tbl>
      <w:tblPr>
        <w:tblStyle w:val="a4"/>
        <w:tblW w:w="0" w:type="auto"/>
        <w:tblLook w:val="04A0"/>
      </w:tblPr>
      <w:tblGrid>
        <w:gridCol w:w="4857"/>
        <w:gridCol w:w="4857"/>
      </w:tblGrid>
      <w:tr w:rsidR="001C2FCC" w:rsidRPr="001C2FCC" w:rsidTr="004D282F"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процесса СМК «Планирование СМК» испытательной лаборатории.</w:t>
            </w:r>
          </w:p>
        </w:tc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требований.</w:t>
            </w:r>
          </w:p>
        </w:tc>
      </w:tr>
      <w:tr w:rsidR="001C2FCC" w:rsidRPr="001C2FCC" w:rsidTr="004D282F"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Испытательная лаборатория при планировании в СМК учла ли  фактор</w:t>
            </w:r>
            <w:proofErr w:type="gram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4.1) и требования (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4.2)?  </w:t>
            </w:r>
          </w:p>
        </w:tc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6.1.( ГОСТ </w:t>
            </w:r>
            <w:proofErr w:type="gramStart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9001-2015)</w:t>
            </w:r>
          </w:p>
        </w:tc>
      </w:tr>
      <w:tr w:rsidR="001C2FCC" w:rsidRPr="001C2FCC" w:rsidTr="004D282F"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Испытательная лаборатория при планировании СМК определила ли риски и возможности?</w:t>
            </w:r>
          </w:p>
        </w:tc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6.1.1. (ГОСТ </w:t>
            </w:r>
            <w:proofErr w:type="gramStart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9001-2015) </w:t>
            </w:r>
          </w:p>
        </w:tc>
      </w:tr>
      <w:tr w:rsidR="001C2FCC" w:rsidRPr="001C2FCC" w:rsidTr="004D282F"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Меры, которые </w:t>
            </w:r>
            <w:proofErr w:type="gram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принимает испытательная лаборатория в отношении рисков пропорциональны</w:t>
            </w:r>
            <w:proofErr w:type="gram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ли их возможному влиянию на соответствие продукции и услуг?</w:t>
            </w:r>
          </w:p>
        </w:tc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6.1.2( ГОСТ </w:t>
            </w:r>
            <w:proofErr w:type="gramStart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9001-2015)</w:t>
            </w:r>
          </w:p>
        </w:tc>
      </w:tr>
      <w:tr w:rsidR="001C2FCC" w:rsidRPr="001C2FCC" w:rsidTr="004D282F"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Установила ли испытательная лаборатория цели в области качества для соответствующих функций, уровней, а также процессов, необходимых для СМК.</w:t>
            </w:r>
          </w:p>
        </w:tc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6.2.1(ГОСТ </w:t>
            </w:r>
            <w:proofErr w:type="gramStart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9001-2015</w:t>
            </w:r>
          </w:p>
        </w:tc>
      </w:tr>
      <w:tr w:rsidR="001C2FCC" w:rsidRPr="001C2FCC" w:rsidTr="004D282F"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Испытательная лаборатория разрабатывает, актуализирует и применяет документированную информацию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оцелях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качества?</w:t>
            </w:r>
          </w:p>
        </w:tc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6.2.1. (ГОСТ </w:t>
            </w:r>
            <w:proofErr w:type="gramStart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9001-2015)</w:t>
            </w:r>
          </w:p>
        </w:tc>
      </w:tr>
      <w:tr w:rsidR="001C2FCC" w:rsidRPr="001C2FCC" w:rsidTr="004D282F"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Там, где испытательная лаборатория определяет необходимость изменений в СМК, эти изменения осуществляются на плановой основе?</w:t>
            </w:r>
          </w:p>
        </w:tc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6.3(ГОСТ </w:t>
            </w:r>
            <w:proofErr w:type="gramStart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9001-2015)</w:t>
            </w:r>
          </w:p>
        </w:tc>
      </w:tr>
    </w:tbl>
    <w:p w:rsidR="001C2FCC" w:rsidRPr="001C2FCC" w:rsidRDefault="001C2FCC" w:rsidP="001C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FCC" w:rsidRPr="001C2FCC" w:rsidRDefault="001C2FCC" w:rsidP="001C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CC">
        <w:rPr>
          <w:rFonts w:ascii="Times New Roman" w:hAnsi="Times New Roman" w:cs="Times New Roman"/>
          <w:sz w:val="24"/>
          <w:szCs w:val="24"/>
        </w:rPr>
        <w:t>Разработанный контрольный лист для процесса «Планирование СМК» размещён в приложении 2.</w:t>
      </w:r>
    </w:p>
    <w:p w:rsidR="001C2FCC" w:rsidRPr="001C2FCC" w:rsidRDefault="001C2FCC" w:rsidP="001C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CC">
        <w:rPr>
          <w:rFonts w:ascii="Times New Roman" w:hAnsi="Times New Roman" w:cs="Times New Roman"/>
          <w:sz w:val="24"/>
          <w:szCs w:val="24"/>
        </w:rPr>
        <w:t xml:space="preserve">Вопросы и пункты ГОСТ </w:t>
      </w:r>
      <w:proofErr w:type="gramStart"/>
      <w:r w:rsidRPr="001C2F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2FCC">
        <w:rPr>
          <w:rFonts w:ascii="Times New Roman" w:hAnsi="Times New Roman" w:cs="Times New Roman"/>
          <w:sz w:val="24"/>
          <w:szCs w:val="24"/>
        </w:rPr>
        <w:t xml:space="preserve"> ИСО 9001-2015, ГОСТ ИСО/МЭК 17025-2009 для процесса «Процессы связанные с потребителем», представлены в таблице 5.</w:t>
      </w:r>
    </w:p>
    <w:p w:rsidR="001C2FCC" w:rsidRPr="001C2FCC" w:rsidRDefault="001C2FCC" w:rsidP="001C2FCC">
      <w:pPr>
        <w:rPr>
          <w:rFonts w:ascii="Times New Roman" w:hAnsi="Times New Roman" w:cs="Times New Roman"/>
          <w:sz w:val="24"/>
          <w:szCs w:val="24"/>
        </w:rPr>
      </w:pPr>
    </w:p>
    <w:p w:rsidR="001C2FCC" w:rsidRPr="00613B7B" w:rsidRDefault="001C2FCC" w:rsidP="001C2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B7B">
        <w:rPr>
          <w:rFonts w:ascii="Times New Roman" w:hAnsi="Times New Roman" w:cs="Times New Roman"/>
          <w:sz w:val="24"/>
          <w:szCs w:val="24"/>
        </w:rPr>
        <w:t>Таблица 5 -вопросы для анализа процесса «</w:t>
      </w:r>
      <w:proofErr w:type="gramStart"/>
      <w:r w:rsidRPr="00613B7B">
        <w:rPr>
          <w:rFonts w:ascii="Times New Roman" w:hAnsi="Times New Roman" w:cs="Times New Roman"/>
          <w:sz w:val="24"/>
          <w:szCs w:val="24"/>
        </w:rPr>
        <w:t>Процессы</w:t>
      </w:r>
      <w:proofErr w:type="gramEnd"/>
      <w:r w:rsidRPr="00613B7B">
        <w:rPr>
          <w:rFonts w:ascii="Times New Roman" w:hAnsi="Times New Roman" w:cs="Times New Roman"/>
          <w:sz w:val="24"/>
          <w:szCs w:val="24"/>
        </w:rPr>
        <w:t xml:space="preserve"> связанные с потребителем» испытательной лаборатории</w:t>
      </w:r>
    </w:p>
    <w:tbl>
      <w:tblPr>
        <w:tblStyle w:val="a4"/>
        <w:tblW w:w="0" w:type="auto"/>
        <w:tblLook w:val="04A0"/>
      </w:tblPr>
      <w:tblGrid>
        <w:gridCol w:w="4857"/>
        <w:gridCol w:w="4857"/>
      </w:tblGrid>
      <w:tr w:rsidR="001C2FCC" w:rsidRPr="001C2FCC" w:rsidTr="004D282F"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процесса СМК «</w:t>
            </w:r>
            <w:proofErr w:type="gramStart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</w:t>
            </w:r>
            <w:proofErr w:type="gramEnd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связанные с потребителем» испытательной лаборатории.</w:t>
            </w:r>
          </w:p>
        </w:tc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требований.</w:t>
            </w:r>
          </w:p>
        </w:tc>
      </w:tr>
      <w:tr w:rsidR="001C2FCC" w:rsidRPr="001C2FCC" w:rsidTr="004D282F"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Имеет ли лаборатория обратную связь с заказчиком?</w:t>
            </w:r>
          </w:p>
        </w:tc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  <w:proofErr w:type="gramStart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ГОСТ ИСО/МЭК 17025-2009)</w:t>
            </w:r>
          </w:p>
        </w:tc>
      </w:tr>
      <w:tr w:rsidR="001C2FCC" w:rsidRPr="001C2FCC" w:rsidTr="004D282F"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Используется ли обратная связь для улучшения СМК и обслуживания заказчиков?</w:t>
            </w:r>
          </w:p>
        </w:tc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  <w:proofErr w:type="gramStart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ГОСТ ИСО/МЭК 17025-2009)</w:t>
            </w:r>
          </w:p>
        </w:tc>
      </w:tr>
      <w:tr w:rsidR="001C2FCC" w:rsidRPr="001C2FCC" w:rsidTr="004D282F"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Предусмотрена ли в лаборатории политика и процедуры по урегулированию претензий заказчиков?</w:t>
            </w:r>
          </w:p>
        </w:tc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  <w:proofErr w:type="gramStart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ГОСТ ИСО/МЭК 17025-2009)</w:t>
            </w:r>
          </w:p>
        </w:tc>
      </w:tr>
      <w:tr w:rsidR="001C2FCC" w:rsidRPr="001C2FCC" w:rsidTr="004D282F"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Установлены ли в лаборатории процедуры анализа запросов, заявок и затрат?</w:t>
            </w:r>
          </w:p>
        </w:tc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4.4. ( ГОСТ ИСО</w:t>
            </w:r>
            <w:r w:rsidRPr="001C2F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МЭК 17025-2009)</w:t>
            </w:r>
          </w:p>
        </w:tc>
      </w:tr>
      <w:tr w:rsidR="001C2FCC" w:rsidRPr="001C2FCC" w:rsidTr="004D282F"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ли требования в лаборатории, имеющие </w:t>
            </w:r>
            <w:proofErr w:type="gram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для конкретного вида проектируемых и разрабатываемых услуг?</w:t>
            </w:r>
          </w:p>
        </w:tc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8.3.3 (ГОСТ </w:t>
            </w:r>
            <w:proofErr w:type="gramStart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ИСО 9001-2015)</w:t>
            </w:r>
          </w:p>
        </w:tc>
      </w:tr>
      <w:tr w:rsidR="001C2FCC" w:rsidRPr="001C2FCC" w:rsidTr="004D282F"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Анализируется ли в лаборатории изменения, сделанные во время  или после проектирования и разработки продукции и 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услуг?</w:t>
            </w:r>
          </w:p>
        </w:tc>
        <w:tc>
          <w:tcPr>
            <w:tcW w:w="4857" w:type="dxa"/>
          </w:tcPr>
          <w:p w:rsidR="001C2FCC" w:rsidRPr="001C2FCC" w:rsidRDefault="001C2FCC" w:rsidP="00D81A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8.3.6(ГОСТ </w:t>
            </w:r>
            <w:proofErr w:type="gramStart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C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ИСО 9001-2015)</w:t>
            </w:r>
          </w:p>
        </w:tc>
      </w:tr>
    </w:tbl>
    <w:p w:rsidR="001C2FCC" w:rsidRPr="001C2FCC" w:rsidRDefault="001C2FCC" w:rsidP="001C2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A70" w:rsidRPr="00D81A70" w:rsidRDefault="00D81A70" w:rsidP="00D81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A70">
        <w:rPr>
          <w:rFonts w:ascii="Times New Roman" w:hAnsi="Times New Roman" w:cs="Times New Roman"/>
          <w:sz w:val="24"/>
          <w:szCs w:val="24"/>
        </w:rPr>
        <w:t>заполняются листы регистрации несоответствий и регистрации уведомлений.</w:t>
      </w:r>
    </w:p>
    <w:p w:rsidR="00D81A70" w:rsidRPr="00D81A70" w:rsidRDefault="00D81A70" w:rsidP="00D81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A70">
        <w:rPr>
          <w:rFonts w:ascii="Times New Roman" w:hAnsi="Times New Roman" w:cs="Times New Roman"/>
          <w:sz w:val="24"/>
          <w:szCs w:val="24"/>
        </w:rPr>
        <w:t xml:space="preserve">Лист регистрации несоответствий - это документ, где регистрируются несоответствия. </w:t>
      </w:r>
    </w:p>
    <w:p w:rsidR="00D81A70" w:rsidRPr="00D81A70" w:rsidRDefault="00D81A70" w:rsidP="00D81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A70">
        <w:rPr>
          <w:rFonts w:ascii="Times New Roman" w:hAnsi="Times New Roman" w:cs="Times New Roman"/>
          <w:sz w:val="24"/>
          <w:szCs w:val="24"/>
        </w:rPr>
        <w:t xml:space="preserve">Лист регистрации уведомлений - это документ, где регистрируются уведомления. </w:t>
      </w:r>
    </w:p>
    <w:p w:rsidR="00D81A70" w:rsidRPr="00D81A70" w:rsidRDefault="00D81A70" w:rsidP="00D81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A70">
        <w:rPr>
          <w:rFonts w:ascii="Times New Roman" w:hAnsi="Times New Roman" w:cs="Times New Roman"/>
          <w:sz w:val="24"/>
          <w:szCs w:val="24"/>
        </w:rPr>
        <w:t>Уведомлений - свидетельство аудита, не носящее характер несоответствия и фиксируемое с целью предотвращения возможного несоответствия.</w:t>
      </w:r>
    </w:p>
    <w:p w:rsidR="00D81A70" w:rsidRPr="00D81A70" w:rsidRDefault="00D81A70" w:rsidP="00D81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A70">
        <w:rPr>
          <w:rFonts w:ascii="Times New Roman" w:hAnsi="Times New Roman" w:cs="Times New Roman"/>
          <w:sz w:val="24"/>
          <w:szCs w:val="24"/>
        </w:rPr>
        <w:t>Несоответствие- это невыполнение требований. Соответствие - выполнение требований. Значительное несоответствие (категория 1) —несоответствие системы менеджмента качества, которое с большей вероятностью может повлечь н</w:t>
      </w:r>
      <w:proofErr w:type="gramStart"/>
      <w:r w:rsidRPr="00D81A7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81A70">
        <w:rPr>
          <w:rFonts w:ascii="Times New Roman" w:hAnsi="Times New Roman" w:cs="Times New Roman"/>
          <w:sz w:val="24"/>
          <w:szCs w:val="24"/>
        </w:rPr>
        <w:t xml:space="preserve"> выполнение требований потребителей или обязательных требований к продукции.</w:t>
      </w:r>
    </w:p>
    <w:p w:rsidR="00D81A70" w:rsidRPr="00D81A70" w:rsidRDefault="00D81A70" w:rsidP="00D81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A70">
        <w:rPr>
          <w:rFonts w:ascii="Times New Roman" w:hAnsi="Times New Roman" w:cs="Times New Roman"/>
          <w:sz w:val="24"/>
          <w:szCs w:val="24"/>
        </w:rPr>
        <w:t xml:space="preserve"> Малозначительное несоответствие (категория 2) - отдельное несистематическое упущение, ошибка, недочёт в функционировании СМК или в документе требований к продукции, или к снижению результативности функционирования элемента СМК.</w:t>
      </w:r>
    </w:p>
    <w:p w:rsidR="00D81A70" w:rsidRPr="00D81A70" w:rsidRDefault="00D81A70" w:rsidP="00D81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A70">
        <w:rPr>
          <w:rFonts w:ascii="Times New Roman" w:hAnsi="Times New Roman" w:cs="Times New Roman"/>
          <w:sz w:val="24"/>
          <w:szCs w:val="24"/>
        </w:rPr>
        <w:t xml:space="preserve"> В листе регистрации несоответствий указывается: наименование процесса СМК, который проверяется; категория несоответствия; пункт документа СМК организации; дата; пункт ГОСТ </w:t>
      </w:r>
      <w:proofErr w:type="gramStart"/>
      <w:r w:rsidRPr="00D81A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81A70">
        <w:rPr>
          <w:rFonts w:ascii="Times New Roman" w:hAnsi="Times New Roman" w:cs="Times New Roman"/>
          <w:sz w:val="24"/>
          <w:szCs w:val="24"/>
        </w:rPr>
        <w:t xml:space="preserve"> ИСО 9001-2015, Приказа от 30 мая 2014 года N 326 (с изменениями на 17 марта 2017 года), ГОСТ ИСОМЭК 17025- 2009;B описание несоответствия. Лист регистрации несоответствии подписывает руководитель аудита, аудитор, представитель процесса СМК испытательной лаборатории. </w:t>
      </w:r>
    </w:p>
    <w:p w:rsidR="00D81A70" w:rsidRPr="00D81A70" w:rsidRDefault="00D81A70" w:rsidP="00D81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A70">
        <w:rPr>
          <w:rFonts w:ascii="Times New Roman" w:hAnsi="Times New Roman" w:cs="Times New Roman"/>
          <w:sz w:val="24"/>
          <w:szCs w:val="24"/>
        </w:rPr>
        <w:t xml:space="preserve">  По окончанию аудита формируется отчёт. Отчет по внутреннему аудиту — это документ, в котором содержится информация, составленная аудитором результатам проведения аудита и адресованная руководителям.</w:t>
      </w:r>
    </w:p>
    <w:p w:rsidR="00D81A70" w:rsidRPr="00D81A70" w:rsidRDefault="00D81A70" w:rsidP="00D81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A70">
        <w:rPr>
          <w:rFonts w:ascii="Times New Roman" w:hAnsi="Times New Roman" w:cs="Times New Roman"/>
          <w:sz w:val="24"/>
          <w:szCs w:val="24"/>
        </w:rPr>
        <w:t xml:space="preserve"> В отчете об внутреннем аудите СМК испытательной лаборатории указывается: кто утверждает отчет по внутреннему аудиту; основание проведения внутреннего аудита; процесс СМК, который проверялся; должность и фамили</w:t>
      </w:r>
      <w:proofErr w:type="gramStart"/>
      <w:r w:rsidRPr="00D81A7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81A70">
        <w:rPr>
          <w:rFonts w:ascii="Times New Roman" w:hAnsi="Times New Roman" w:cs="Times New Roman"/>
          <w:sz w:val="24"/>
          <w:szCs w:val="24"/>
        </w:rPr>
        <w:t xml:space="preserve">я) и инициалы аудиторов(а); результаты проведенного внутреннего аудита; дата проведения аудита; предложения аудиторов. Отчет подписывается руководителем аудита и комиссией аудиторов, а также руководителем процесса. </w:t>
      </w:r>
    </w:p>
    <w:p w:rsidR="00D81A70" w:rsidRPr="00D81A70" w:rsidRDefault="00D81A70" w:rsidP="00D81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A70">
        <w:rPr>
          <w:rFonts w:ascii="Times New Roman" w:hAnsi="Times New Roman" w:cs="Times New Roman"/>
          <w:sz w:val="24"/>
          <w:szCs w:val="24"/>
        </w:rPr>
        <w:t xml:space="preserve">По результатам аудита составляется план корректирующих действий согласно листам регистрации несоответствий и уведомлений. </w:t>
      </w:r>
    </w:p>
    <w:p w:rsidR="00D81A70" w:rsidRPr="00D81A70" w:rsidRDefault="00D81A70" w:rsidP="00D81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A70">
        <w:rPr>
          <w:rFonts w:ascii="Times New Roman" w:hAnsi="Times New Roman" w:cs="Times New Roman"/>
          <w:sz w:val="24"/>
          <w:szCs w:val="24"/>
        </w:rPr>
        <w:t>Корректирующие действие (КД) — действие, предпринятое для устранения причины несоответствия и предупреждения его повторного возникновения.</w:t>
      </w:r>
    </w:p>
    <w:p w:rsidR="00D81A70" w:rsidRPr="00D81A70" w:rsidRDefault="00D81A70" w:rsidP="00D81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A70">
        <w:rPr>
          <w:rFonts w:ascii="Times New Roman" w:hAnsi="Times New Roman" w:cs="Times New Roman"/>
          <w:sz w:val="24"/>
          <w:szCs w:val="24"/>
        </w:rPr>
        <w:t xml:space="preserve">В плане КД по результатам внутреннего аудита указывается: кем утверждается план </w:t>
      </w:r>
      <w:proofErr w:type="gramStart"/>
      <w:r w:rsidRPr="00D81A70">
        <w:rPr>
          <w:rFonts w:ascii="Times New Roman" w:hAnsi="Times New Roman" w:cs="Times New Roman"/>
          <w:sz w:val="24"/>
          <w:szCs w:val="24"/>
        </w:rPr>
        <w:t>КД</w:t>
      </w:r>
      <w:proofErr w:type="gramEnd"/>
      <w:r w:rsidRPr="00D81A70">
        <w:rPr>
          <w:rFonts w:ascii="Times New Roman" w:hAnsi="Times New Roman" w:cs="Times New Roman"/>
          <w:sz w:val="24"/>
          <w:szCs w:val="24"/>
        </w:rPr>
        <w:t xml:space="preserve">; за какой месяц год КД; несоответствие или уведомление; процесс СМК испытательной </w:t>
      </w:r>
      <w:r w:rsidRPr="00D81A70">
        <w:rPr>
          <w:rFonts w:ascii="Times New Roman" w:hAnsi="Times New Roman" w:cs="Times New Roman"/>
          <w:sz w:val="24"/>
          <w:szCs w:val="24"/>
        </w:rPr>
        <w:lastRenderedPageBreak/>
        <w:t>лаборатории, где было выявлено несоответствие; корректирующее действие; срок выполнения; ответственный за выполнение корректирующего действия; отметка о выполнении. В плане КД расписывается специалист по СМК ИЛ, а также те, с кем согласован план КД.</w:t>
      </w:r>
    </w:p>
    <w:p w:rsidR="00D81A70" w:rsidRPr="00D81A70" w:rsidRDefault="00D81A70" w:rsidP="00D81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A70">
        <w:rPr>
          <w:rFonts w:ascii="Times New Roman" w:hAnsi="Times New Roman" w:cs="Times New Roman"/>
          <w:sz w:val="24"/>
          <w:szCs w:val="24"/>
        </w:rPr>
        <w:t xml:space="preserve"> На основании выше изложенной информации разработан стандарт организации ««Система менеджмента качества. Порядок </w:t>
      </w:r>
      <w:proofErr w:type="gramStart"/>
      <w:r w:rsidRPr="00D81A70">
        <w:rPr>
          <w:rFonts w:ascii="Times New Roman" w:hAnsi="Times New Roman" w:cs="Times New Roman"/>
          <w:sz w:val="24"/>
          <w:szCs w:val="24"/>
        </w:rPr>
        <w:t>проведения внутреннего аудита системы менеджмента качества испытательной</w:t>
      </w:r>
      <w:proofErr w:type="gramEnd"/>
      <w:r w:rsidRPr="00D81A70">
        <w:rPr>
          <w:rFonts w:ascii="Times New Roman" w:hAnsi="Times New Roman" w:cs="Times New Roman"/>
          <w:sz w:val="24"/>
          <w:szCs w:val="24"/>
        </w:rPr>
        <w:t xml:space="preserve"> лаборато</w:t>
      </w:r>
      <w:r w:rsidR="00941D43">
        <w:rPr>
          <w:rFonts w:ascii="Times New Roman" w:hAnsi="Times New Roman" w:cs="Times New Roman"/>
          <w:sz w:val="24"/>
          <w:szCs w:val="24"/>
        </w:rPr>
        <w:t>рии» для ФБУ «Красноярский ЦСМ».</w:t>
      </w:r>
    </w:p>
    <w:p w:rsidR="00D81A70" w:rsidRPr="009E05FE" w:rsidRDefault="00D81A70" w:rsidP="00D81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C2FCC" w:rsidRDefault="001C2FCC" w:rsidP="00DC6916">
      <w:pPr>
        <w:pStyle w:val="hcwomai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sectPr w:rsidR="001C2FCC" w:rsidSect="00DC69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E21"/>
    <w:rsid w:val="00056F78"/>
    <w:rsid w:val="00080EF7"/>
    <w:rsid w:val="00081F88"/>
    <w:rsid w:val="00084CEA"/>
    <w:rsid w:val="000C5A46"/>
    <w:rsid w:val="001C2FCC"/>
    <w:rsid w:val="00324442"/>
    <w:rsid w:val="003A397B"/>
    <w:rsid w:val="004D282F"/>
    <w:rsid w:val="007E4E21"/>
    <w:rsid w:val="0087309C"/>
    <w:rsid w:val="00941D43"/>
    <w:rsid w:val="00A13B27"/>
    <w:rsid w:val="00A3183E"/>
    <w:rsid w:val="00B319AB"/>
    <w:rsid w:val="00C258E5"/>
    <w:rsid w:val="00CA7C51"/>
    <w:rsid w:val="00CC0358"/>
    <w:rsid w:val="00CF7475"/>
    <w:rsid w:val="00D81A70"/>
    <w:rsid w:val="00D95410"/>
    <w:rsid w:val="00DC6916"/>
    <w:rsid w:val="00DE427C"/>
    <w:rsid w:val="00F0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21"/>
  </w:style>
  <w:style w:type="paragraph" w:styleId="1">
    <w:name w:val="heading 1"/>
    <w:basedOn w:val="a"/>
    <w:link w:val="10"/>
    <w:uiPriority w:val="9"/>
    <w:qFormat/>
    <w:rsid w:val="00F07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womain">
    <w:name w:val="hcwo_main"/>
    <w:basedOn w:val="a"/>
    <w:rsid w:val="007E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F0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2021-05-30T13:24:00Z</dcterms:created>
  <dcterms:modified xsi:type="dcterms:W3CDTF">2021-05-30T13:28:00Z</dcterms:modified>
</cp:coreProperties>
</file>