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DE" w:rsidRDefault="007E45DE" w:rsidP="007E45DE">
      <w:pPr>
        <w:spacing w:after="120" w:line="86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A37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МУНИЦИПАЛЬНОЕ</w:t>
      </w:r>
      <w:r w:rsidRPr="005A37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A37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ОБЩЕОБРАЗОВАТЕЛЬНОЕ</w:t>
      </w:r>
      <w:r w:rsidRPr="005A37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Pr="005A37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УЧРЕЖДЕНИЕ</w:t>
      </w:r>
      <w:r w:rsidRPr="005A37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A37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ШКОЛА</w:t>
      </w:r>
      <w:proofErr w:type="gramEnd"/>
      <w:r w:rsidRPr="005A37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-</w:t>
      </w:r>
      <w:r w:rsidRPr="005A37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ГИМНАЗИЯ</w:t>
      </w:r>
      <w:r w:rsidRPr="005A37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 </w:t>
      </w:r>
      <w:r w:rsidRPr="005A37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37</w:t>
      </w:r>
      <w:r w:rsidRPr="005A37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A37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</w:t>
      </w:r>
      <w:r w:rsidRPr="005A37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Pr="005A37E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ВОЛЖСКОГО</w:t>
      </w:r>
      <w:r w:rsidRPr="005A37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ВОЛГОГРАДСКОЙ ОБЛАСТИ</w:t>
      </w:r>
    </w:p>
    <w:p w:rsidR="007E45DE" w:rsidRDefault="007E45DE" w:rsidP="007E45DE">
      <w:pPr>
        <w:spacing w:after="120" w:line="86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E45DE" w:rsidRDefault="007E45DE" w:rsidP="007E45DE">
      <w:pPr>
        <w:spacing w:after="120" w:line="86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E45DE" w:rsidRDefault="007E45DE" w:rsidP="007E45DE">
      <w:pPr>
        <w:spacing w:after="120" w:line="86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E45DE" w:rsidRDefault="007E45DE" w:rsidP="007E45DE">
      <w:pPr>
        <w:spacing w:after="120" w:line="86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E45DE" w:rsidRDefault="007E45DE" w:rsidP="007E45DE">
      <w:pPr>
        <w:spacing w:after="120" w:line="86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E45DE" w:rsidRDefault="007E45DE" w:rsidP="007E45DE">
      <w:pPr>
        <w:spacing w:after="120" w:line="86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E45DE" w:rsidRPr="007E45DE" w:rsidRDefault="007E45DE" w:rsidP="007E45DE">
      <w:pPr>
        <w:spacing w:after="120" w:line="8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45DE">
        <w:rPr>
          <w:rFonts w:ascii="Times New Roman" w:hAnsi="Times New Roman"/>
          <w:b/>
          <w:sz w:val="28"/>
          <w:szCs w:val="28"/>
        </w:rPr>
        <w:t>ТЕМА: «</w:t>
      </w:r>
      <w:r w:rsidRPr="007E4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Экологический анализ популяции озерной лягушки </w:t>
      </w:r>
      <w:proofErr w:type="spellStart"/>
      <w:r w:rsidRPr="007E4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г.Волжский</w:t>
      </w:r>
      <w:proofErr w:type="spellEnd"/>
      <w:r w:rsidRPr="007E4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E45DE" w:rsidRPr="007E45DE" w:rsidRDefault="007E45DE" w:rsidP="007E45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45DE" w:rsidRDefault="007E45DE" w:rsidP="007E45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45DE" w:rsidRDefault="007E45DE" w:rsidP="007E45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45DE" w:rsidRDefault="007E45DE" w:rsidP="007E45DE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E45DE" w:rsidRDefault="007E45DE" w:rsidP="007E45DE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E45DE" w:rsidRDefault="007E45DE" w:rsidP="007E45DE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E45DE" w:rsidRPr="007E45DE" w:rsidRDefault="007E45DE" w:rsidP="007E45DE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7E45DE">
        <w:rPr>
          <w:rFonts w:ascii="Times New Roman" w:hAnsi="Times New Roman"/>
          <w:i/>
          <w:sz w:val="28"/>
          <w:szCs w:val="28"/>
        </w:rPr>
        <w:t>Выполнили:</w:t>
      </w:r>
    </w:p>
    <w:p w:rsidR="007E45DE" w:rsidRPr="007E45DE" w:rsidRDefault="007E45DE" w:rsidP="007E45D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Дмитриенко Ангелина Сергеевна, 10в</w:t>
      </w:r>
    </w:p>
    <w:p w:rsidR="007E45DE" w:rsidRDefault="007E45DE" w:rsidP="007E45D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E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орост</w:t>
      </w:r>
      <w:proofErr w:type="spellEnd"/>
      <w:r w:rsidRPr="007E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 Владимировна, 8</w:t>
      </w:r>
      <w:r w:rsidRPr="007E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7E45DE" w:rsidRPr="007E45DE" w:rsidRDefault="007E45DE" w:rsidP="007E45D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5DE" w:rsidRPr="007E45DE" w:rsidRDefault="007E45DE" w:rsidP="007E45D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45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Руководители:</w:t>
      </w:r>
    </w:p>
    <w:p w:rsidR="007E45DE" w:rsidRPr="007E45DE" w:rsidRDefault="007E45DE" w:rsidP="007E45DE">
      <w:pPr>
        <w:spacing w:after="120" w:line="8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Красюкова</w:t>
      </w:r>
      <w:proofErr w:type="spellEnd"/>
      <w:r w:rsidRPr="007E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Викторовна, учитель химии и биологии</w:t>
      </w:r>
    </w:p>
    <w:p w:rsidR="007E45DE" w:rsidRPr="007E45DE" w:rsidRDefault="007E45DE" w:rsidP="007E45D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E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Коновалова Дарья Вадимовна, учитель химии и биологии</w:t>
      </w:r>
    </w:p>
    <w:p w:rsidR="007E45DE" w:rsidRDefault="007E45DE" w:rsidP="005639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45DE" w:rsidRDefault="007E45DE" w:rsidP="005639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45DE" w:rsidRDefault="007E45DE" w:rsidP="005639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45DE" w:rsidRDefault="007E45DE" w:rsidP="005639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45DE" w:rsidRDefault="007E45DE" w:rsidP="005639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45DE" w:rsidRDefault="007E45DE" w:rsidP="005639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45DE" w:rsidRDefault="007E45DE" w:rsidP="005639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45DE" w:rsidRDefault="007E45DE" w:rsidP="005639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45DE" w:rsidRDefault="007E45DE" w:rsidP="005639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г.Волжский</w:t>
      </w:r>
      <w:proofErr w:type="spellEnd"/>
      <w:r>
        <w:rPr>
          <w:rFonts w:ascii="Times New Roman" w:hAnsi="Times New Roman"/>
          <w:sz w:val="28"/>
          <w:szCs w:val="28"/>
        </w:rPr>
        <w:t>, 2021</w:t>
      </w:r>
    </w:p>
    <w:p w:rsidR="00563987" w:rsidRDefault="00563987" w:rsidP="0056398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563987" w:rsidRDefault="00563987" w:rsidP="00563987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Введение……………………………………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…….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.………………………….……3</w:t>
      </w:r>
    </w:p>
    <w:p w:rsidR="00563987" w:rsidRDefault="00563987" w:rsidP="00563987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ГЛАВА 1. Литературный обзор по проблеме исследования</w:t>
      </w:r>
    </w:p>
    <w:p w:rsidR="00563987" w:rsidRDefault="00563987" w:rsidP="00563987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1.История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изучения популяции озерной лягушки ……………………….…..5</w:t>
      </w:r>
    </w:p>
    <w:p w:rsidR="00563987" w:rsidRDefault="00563987" w:rsidP="00563987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ГЛАВА 2.</w:t>
      </w:r>
      <w:r w:rsidRPr="00301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Практическое </w:t>
      </w:r>
      <w:r w:rsidRPr="00D47A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исследование</w:t>
      </w:r>
      <w:proofErr w:type="gramEnd"/>
      <w:r w:rsidRPr="00D47A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структуры популяции озерной лягушки</w:t>
      </w:r>
    </w:p>
    <w:p w:rsidR="00563987" w:rsidRDefault="00563987" w:rsidP="0056398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1.Основные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методы учета популяции земноводных...…………………….…8</w:t>
      </w:r>
    </w:p>
    <w:p w:rsidR="00563987" w:rsidRDefault="00563987" w:rsidP="00563987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2.Э</w:t>
      </w:r>
      <w:r w:rsidRPr="00646617">
        <w:rPr>
          <w:rFonts w:ascii="Times New Roman" w:hAnsi="Times New Roman" w:cs="Times New Roman"/>
          <w:sz w:val="28"/>
          <w:szCs w:val="28"/>
        </w:rPr>
        <w:t>кологический</w:t>
      </w:r>
      <w:proofErr w:type="gramEnd"/>
      <w:r w:rsidRPr="00646617">
        <w:rPr>
          <w:rFonts w:ascii="Times New Roman" w:hAnsi="Times New Roman" w:cs="Times New Roman"/>
          <w:sz w:val="28"/>
          <w:szCs w:val="28"/>
        </w:rPr>
        <w:t xml:space="preserve"> а</w:t>
      </w:r>
      <w:r w:rsidR="005367D2">
        <w:rPr>
          <w:rFonts w:ascii="Times New Roman" w:hAnsi="Times New Roman" w:cs="Times New Roman"/>
          <w:sz w:val="28"/>
          <w:szCs w:val="28"/>
        </w:rPr>
        <w:t xml:space="preserve">нализ популяции озерной лягушки </w:t>
      </w:r>
      <w:proofErr w:type="spellStart"/>
      <w:r w:rsidR="005367D2">
        <w:rPr>
          <w:rFonts w:ascii="Times New Roman" w:hAnsi="Times New Roman" w:cs="Times New Roman"/>
          <w:sz w:val="28"/>
          <w:szCs w:val="28"/>
        </w:rPr>
        <w:t>г.Волжский</w:t>
      </w:r>
      <w:proofErr w:type="spellEnd"/>
      <w:r w:rsidR="00D333F5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…...13</w:t>
      </w:r>
    </w:p>
    <w:p w:rsidR="00563987" w:rsidRDefault="00563987" w:rsidP="0056398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Заключен</w:t>
      </w:r>
      <w:r w:rsidR="007E45DE">
        <w:rPr>
          <w:rFonts w:ascii="Times New Roman" w:hAnsi="Times New Roman"/>
          <w:color w:val="000000"/>
          <w:sz w:val="28"/>
          <w:szCs w:val="28"/>
        </w:rPr>
        <w:t>ие……………………………………………………………</w:t>
      </w:r>
      <w:proofErr w:type="gramStart"/>
      <w:r w:rsidR="007E45DE">
        <w:rPr>
          <w:rFonts w:ascii="Times New Roman" w:hAnsi="Times New Roman"/>
          <w:color w:val="000000"/>
          <w:sz w:val="28"/>
          <w:szCs w:val="28"/>
        </w:rPr>
        <w:t>…….</w:t>
      </w:r>
      <w:proofErr w:type="gramEnd"/>
      <w:r w:rsidR="007E45DE">
        <w:rPr>
          <w:rFonts w:ascii="Times New Roman" w:hAnsi="Times New Roman"/>
          <w:color w:val="000000"/>
          <w:sz w:val="28"/>
          <w:szCs w:val="28"/>
        </w:rPr>
        <w:t>……19</w:t>
      </w:r>
    </w:p>
    <w:p w:rsidR="00563987" w:rsidRDefault="00563987" w:rsidP="0056398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Список литерат</w:t>
      </w:r>
      <w:r w:rsidR="007E45DE">
        <w:rPr>
          <w:rFonts w:ascii="Times New Roman" w:hAnsi="Times New Roman"/>
          <w:color w:val="000000"/>
          <w:sz w:val="28"/>
          <w:szCs w:val="28"/>
        </w:rPr>
        <w:t>уры…………………………...………………………</w:t>
      </w:r>
      <w:proofErr w:type="gramStart"/>
      <w:r w:rsidR="007E45DE">
        <w:rPr>
          <w:rFonts w:ascii="Times New Roman" w:hAnsi="Times New Roman"/>
          <w:color w:val="000000"/>
          <w:sz w:val="28"/>
          <w:szCs w:val="28"/>
        </w:rPr>
        <w:t>…….</w:t>
      </w:r>
      <w:proofErr w:type="gramEnd"/>
      <w:r w:rsidR="007E45DE">
        <w:rPr>
          <w:rFonts w:ascii="Times New Roman" w:hAnsi="Times New Roman"/>
          <w:color w:val="000000"/>
          <w:sz w:val="28"/>
          <w:szCs w:val="28"/>
        </w:rPr>
        <w:t>……21</w:t>
      </w:r>
    </w:p>
    <w:p w:rsidR="00563987" w:rsidRDefault="00563987" w:rsidP="0056398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367D2" w:rsidRDefault="005367D2" w:rsidP="00563987">
      <w:pPr>
        <w:spacing w:after="0"/>
      </w:pPr>
    </w:p>
    <w:p w:rsidR="00A352AD" w:rsidRDefault="00A352AD" w:rsidP="00563987">
      <w:pPr>
        <w:spacing w:after="0"/>
      </w:pPr>
    </w:p>
    <w:p w:rsidR="00A352AD" w:rsidRDefault="00A352AD" w:rsidP="00563987">
      <w:pPr>
        <w:spacing w:after="0"/>
      </w:pPr>
    </w:p>
    <w:p w:rsidR="005367D2" w:rsidRDefault="005367D2" w:rsidP="00563987">
      <w:pPr>
        <w:spacing w:after="0"/>
      </w:pPr>
    </w:p>
    <w:p w:rsidR="00563987" w:rsidRPr="002349BC" w:rsidRDefault="00563987" w:rsidP="00563987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9B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63987" w:rsidRPr="00646617" w:rsidRDefault="00563987" w:rsidP="00563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17">
        <w:rPr>
          <w:rFonts w:ascii="Times New Roman" w:hAnsi="Times New Roman" w:cs="Times New Roman"/>
          <w:sz w:val="28"/>
          <w:szCs w:val="28"/>
        </w:rPr>
        <w:t>При изменении среды обитания, в том числе и антропогенном, наблюдаются реакции животных на изменение условий. При этом весьма вероятно дифференцированное влияние отдельных факторов на различные внутрипопуляционные группы организмов и отдельные популяционные процессы, а, следовательно, и на динамику структуры популяций. Параллельно идет отбор особей с более совершенной реакцией, что изменяет генофонд популяции. Принимая во внимания всего выше сказанного можно предопределить актуальность нашего исследования.</w:t>
      </w:r>
    </w:p>
    <w:p w:rsidR="00563987" w:rsidRPr="00646617" w:rsidRDefault="00563987" w:rsidP="00563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17">
        <w:rPr>
          <w:rFonts w:ascii="Times New Roman" w:hAnsi="Times New Roman" w:cs="Times New Roman"/>
          <w:sz w:val="28"/>
          <w:szCs w:val="28"/>
        </w:rPr>
        <w:t>Такие исследователи, как Большаков, Кубанцев с достаточной степенью обоснованности высказывают предположение о целесообразности использования особенностей структуры популяций животных в биоиндикационных целях. Удобным объектом для углубленного изучения реакций животных на изменения среды и для разработки на фактическом материале закономерностей адаптивных эволюционных преобразований животных являются земноводные, так как на протяжении онтогенеза они обитают в двух средах, достаточно обычны в различных материковых водах, широко распространены. Самым распространенным видом представителей земноводных является озерная лягушка.</w:t>
      </w:r>
    </w:p>
    <w:p w:rsidR="00563987" w:rsidRPr="00646617" w:rsidRDefault="00563987" w:rsidP="00563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17">
        <w:rPr>
          <w:rFonts w:ascii="Times New Roman" w:hAnsi="Times New Roman" w:cs="Times New Roman"/>
          <w:sz w:val="28"/>
          <w:szCs w:val="28"/>
        </w:rPr>
        <w:t>Изучение озерной лягушки имеет давнюю историю. Разные аспекты биологии, экологии вида изучались и в Волгоградской области (</w:t>
      </w:r>
      <w:proofErr w:type="spellStart"/>
      <w:r w:rsidRPr="00646617">
        <w:rPr>
          <w:rFonts w:ascii="Times New Roman" w:hAnsi="Times New Roman" w:cs="Times New Roman"/>
          <w:sz w:val="28"/>
          <w:szCs w:val="28"/>
        </w:rPr>
        <w:t>Н.Н.Колякин</w:t>
      </w:r>
      <w:proofErr w:type="spellEnd"/>
      <w:r w:rsidRPr="00646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617">
        <w:rPr>
          <w:rFonts w:ascii="Times New Roman" w:hAnsi="Times New Roman" w:cs="Times New Roman"/>
          <w:sz w:val="28"/>
          <w:szCs w:val="28"/>
        </w:rPr>
        <w:t>Н.А.Косарева</w:t>
      </w:r>
      <w:proofErr w:type="spellEnd"/>
      <w:r w:rsidRPr="006466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6617">
        <w:rPr>
          <w:rFonts w:ascii="Times New Roman" w:hAnsi="Times New Roman" w:cs="Times New Roman"/>
          <w:sz w:val="28"/>
          <w:szCs w:val="28"/>
        </w:rPr>
        <w:t>Б.С.Кубанцев</w:t>
      </w:r>
      <w:proofErr w:type="spellEnd"/>
      <w:r w:rsidRPr="00646617">
        <w:rPr>
          <w:rFonts w:ascii="Times New Roman" w:hAnsi="Times New Roman" w:cs="Times New Roman"/>
          <w:sz w:val="28"/>
          <w:szCs w:val="28"/>
        </w:rPr>
        <w:t xml:space="preserve"> и др.). Но дальнейшее изменение среды, в том числе и в результате деятельности человека, предполагает наблюдение за изменениями природных популяций.</w:t>
      </w:r>
    </w:p>
    <w:p w:rsidR="00563987" w:rsidRPr="00646617" w:rsidRDefault="00563987" w:rsidP="00563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17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646617">
        <w:rPr>
          <w:rFonts w:ascii="Times New Roman" w:hAnsi="Times New Roman" w:cs="Times New Roman"/>
          <w:sz w:val="28"/>
          <w:szCs w:val="28"/>
        </w:rPr>
        <w:t>: популяция озерной лягушки.</w:t>
      </w:r>
    </w:p>
    <w:p w:rsidR="00563987" w:rsidRPr="00646617" w:rsidRDefault="00563987" w:rsidP="00563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17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646617">
        <w:rPr>
          <w:rFonts w:ascii="Times New Roman" w:hAnsi="Times New Roman" w:cs="Times New Roman"/>
          <w:sz w:val="28"/>
          <w:szCs w:val="28"/>
        </w:rPr>
        <w:t xml:space="preserve">: популяция озерной лягушки </w:t>
      </w:r>
      <w:proofErr w:type="spellStart"/>
      <w:r w:rsidR="005367D2">
        <w:rPr>
          <w:rFonts w:ascii="Times New Roman" w:hAnsi="Times New Roman" w:cs="Times New Roman"/>
          <w:sz w:val="28"/>
          <w:szCs w:val="28"/>
        </w:rPr>
        <w:t>г.Волжский</w:t>
      </w:r>
      <w:proofErr w:type="spellEnd"/>
      <w:r w:rsidR="00E42C06">
        <w:rPr>
          <w:rFonts w:ascii="Times New Roman" w:hAnsi="Times New Roman" w:cs="Times New Roman"/>
          <w:sz w:val="28"/>
          <w:szCs w:val="28"/>
        </w:rPr>
        <w:t>.</w:t>
      </w:r>
    </w:p>
    <w:p w:rsidR="00563987" w:rsidRPr="00646617" w:rsidRDefault="00563987" w:rsidP="00563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17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646617">
        <w:rPr>
          <w:rFonts w:ascii="Times New Roman" w:hAnsi="Times New Roman" w:cs="Times New Roman"/>
          <w:sz w:val="28"/>
          <w:szCs w:val="28"/>
        </w:rPr>
        <w:t xml:space="preserve">: провести экологический анализ популяции озерной лягушки </w:t>
      </w:r>
      <w:proofErr w:type="spellStart"/>
      <w:r w:rsidR="005367D2">
        <w:rPr>
          <w:rFonts w:ascii="Times New Roman" w:hAnsi="Times New Roman" w:cs="Times New Roman"/>
          <w:sz w:val="28"/>
          <w:szCs w:val="28"/>
        </w:rPr>
        <w:t>г.Волжский</w:t>
      </w:r>
      <w:proofErr w:type="spellEnd"/>
      <w:r w:rsidRPr="00646617">
        <w:rPr>
          <w:rFonts w:ascii="Times New Roman" w:hAnsi="Times New Roman" w:cs="Times New Roman"/>
          <w:sz w:val="28"/>
          <w:szCs w:val="28"/>
        </w:rPr>
        <w:t>.</w:t>
      </w:r>
    </w:p>
    <w:p w:rsidR="00563987" w:rsidRPr="00646617" w:rsidRDefault="00563987" w:rsidP="005639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617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563987" w:rsidRPr="00646617" w:rsidRDefault="00563987" w:rsidP="0056398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17">
        <w:rPr>
          <w:rFonts w:ascii="Times New Roman" w:hAnsi="Times New Roman" w:cs="Times New Roman"/>
          <w:sz w:val="28"/>
          <w:szCs w:val="28"/>
        </w:rPr>
        <w:lastRenderedPageBreak/>
        <w:t>Ознакомиться с историей изучения популяции озерной лягушки;</w:t>
      </w:r>
    </w:p>
    <w:p w:rsidR="00563987" w:rsidRPr="00646617" w:rsidRDefault="00563987" w:rsidP="0056398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17">
        <w:rPr>
          <w:rFonts w:ascii="Times New Roman" w:hAnsi="Times New Roman" w:cs="Times New Roman"/>
          <w:sz w:val="28"/>
          <w:szCs w:val="28"/>
        </w:rPr>
        <w:t xml:space="preserve">Рассмотреть основные методы учета популяции </w:t>
      </w:r>
      <w:r>
        <w:rPr>
          <w:rFonts w:ascii="Times New Roman" w:hAnsi="Times New Roman" w:cs="Times New Roman"/>
          <w:sz w:val="28"/>
          <w:szCs w:val="28"/>
        </w:rPr>
        <w:t>земноводных</w:t>
      </w:r>
      <w:r w:rsidRPr="00646617">
        <w:rPr>
          <w:rFonts w:ascii="Times New Roman" w:hAnsi="Times New Roman" w:cs="Times New Roman"/>
          <w:sz w:val="28"/>
          <w:szCs w:val="28"/>
        </w:rPr>
        <w:t>;</w:t>
      </w:r>
    </w:p>
    <w:p w:rsidR="00563987" w:rsidRPr="00646617" w:rsidRDefault="00563987" w:rsidP="0056398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17">
        <w:rPr>
          <w:rFonts w:ascii="Times New Roman" w:hAnsi="Times New Roman" w:cs="Times New Roman"/>
          <w:sz w:val="28"/>
          <w:szCs w:val="28"/>
        </w:rPr>
        <w:t xml:space="preserve">Провести экологический анализ популяции озерной лягушки </w:t>
      </w:r>
      <w:proofErr w:type="spellStart"/>
      <w:r w:rsidR="005367D2">
        <w:rPr>
          <w:rFonts w:ascii="Times New Roman" w:hAnsi="Times New Roman" w:cs="Times New Roman"/>
          <w:sz w:val="28"/>
          <w:szCs w:val="28"/>
        </w:rPr>
        <w:t>г.Волжский</w:t>
      </w:r>
      <w:proofErr w:type="spellEnd"/>
      <w:r w:rsidR="005367D2">
        <w:rPr>
          <w:rFonts w:ascii="Times New Roman" w:hAnsi="Times New Roman" w:cs="Times New Roman"/>
          <w:sz w:val="28"/>
          <w:szCs w:val="28"/>
        </w:rPr>
        <w:t>.</w:t>
      </w:r>
    </w:p>
    <w:p w:rsidR="00563987" w:rsidRPr="00646617" w:rsidRDefault="00563987" w:rsidP="00563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17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64661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46617">
        <w:rPr>
          <w:rFonts w:ascii="Times New Roman" w:hAnsi="Times New Roman" w:cs="Times New Roman"/>
          <w:sz w:val="28"/>
          <w:szCs w:val="28"/>
        </w:rPr>
        <w:t>изучение  научной</w:t>
      </w:r>
      <w:proofErr w:type="gramEnd"/>
      <w:r w:rsidRPr="00646617">
        <w:rPr>
          <w:rFonts w:ascii="Times New Roman" w:hAnsi="Times New Roman" w:cs="Times New Roman"/>
          <w:sz w:val="28"/>
          <w:szCs w:val="28"/>
        </w:rPr>
        <w:t xml:space="preserve">, методической литературы по проблеме исследования структуры популяции озерной лягушки. </w:t>
      </w:r>
    </w:p>
    <w:p w:rsidR="00563987" w:rsidRPr="00646617" w:rsidRDefault="00563987" w:rsidP="005639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6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значимость исследования</w:t>
      </w:r>
      <w:r w:rsidRPr="00646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в том, что экологический учет популяции озерной лягушки позволяется оценить ситуацию загрязненности водоемов, в которых они обитают.</w:t>
      </w:r>
    </w:p>
    <w:p w:rsidR="00563987" w:rsidRDefault="00563987" w:rsidP="00563987">
      <w:pPr>
        <w:spacing w:after="0"/>
      </w:pPr>
    </w:p>
    <w:p w:rsidR="00E42C06" w:rsidRDefault="00E42C06" w:rsidP="00563987">
      <w:pPr>
        <w:spacing w:after="0"/>
      </w:pPr>
    </w:p>
    <w:p w:rsidR="00E42C06" w:rsidRDefault="00E42C06" w:rsidP="00563987">
      <w:pPr>
        <w:spacing w:after="0"/>
      </w:pPr>
    </w:p>
    <w:p w:rsidR="00E42C06" w:rsidRDefault="00E42C06" w:rsidP="00563987">
      <w:pPr>
        <w:spacing w:after="0"/>
      </w:pPr>
    </w:p>
    <w:p w:rsidR="00E42C06" w:rsidRDefault="00E42C06" w:rsidP="00563987">
      <w:pPr>
        <w:spacing w:after="0"/>
      </w:pPr>
    </w:p>
    <w:p w:rsidR="00E42C06" w:rsidRDefault="00E42C06" w:rsidP="00563987">
      <w:pPr>
        <w:spacing w:after="0"/>
      </w:pPr>
    </w:p>
    <w:p w:rsidR="00E42C06" w:rsidRDefault="00E42C06" w:rsidP="00563987">
      <w:pPr>
        <w:spacing w:after="0"/>
      </w:pPr>
    </w:p>
    <w:p w:rsidR="00E42C06" w:rsidRDefault="00E42C06" w:rsidP="00563987">
      <w:pPr>
        <w:spacing w:after="0"/>
      </w:pPr>
    </w:p>
    <w:p w:rsidR="00E42C06" w:rsidRDefault="00E42C06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Default="00563987" w:rsidP="00563987">
      <w:pPr>
        <w:spacing w:after="0"/>
      </w:pPr>
    </w:p>
    <w:p w:rsidR="00563987" w:rsidRPr="007D597F" w:rsidRDefault="00563987" w:rsidP="00563987">
      <w:pPr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D59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ГЛАВА 1. Литературный обзор по проблеме исследования</w:t>
      </w:r>
    </w:p>
    <w:p w:rsidR="00563987" w:rsidRDefault="00563987" w:rsidP="00563987">
      <w:pPr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D59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</w:t>
      </w:r>
      <w:proofErr w:type="gramStart"/>
      <w:r w:rsidRPr="007D59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1.История</w:t>
      </w:r>
      <w:proofErr w:type="gramEnd"/>
      <w:r w:rsidRPr="007D59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изучения популяции озерной лягушки</w:t>
      </w:r>
    </w:p>
    <w:p w:rsidR="00563987" w:rsidRDefault="00563987" w:rsidP="00563987">
      <w:pPr>
        <w:spacing w:after="0"/>
        <w:jc w:val="both"/>
      </w:pPr>
    </w:p>
    <w:p w:rsidR="00563987" w:rsidRPr="002349BC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692">
        <w:rPr>
          <w:rFonts w:ascii="Times New Roman" w:hAnsi="Times New Roman" w:cs="Times New Roman"/>
          <w:color w:val="000000"/>
          <w:sz w:val="28"/>
          <w:szCs w:val="28"/>
        </w:rPr>
        <w:t>История изучения земноводных и пресмыкающихся Нижнего Поволжья достаточно четко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распадается н</w:t>
      </w:r>
      <w:r>
        <w:rPr>
          <w:rFonts w:ascii="Times New Roman" w:hAnsi="Times New Roman" w:cs="Times New Roman"/>
          <w:color w:val="000000"/>
          <w:sz w:val="28"/>
          <w:szCs w:val="28"/>
        </w:rPr>
        <w:t>а три неравных периода: 1 - пер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вые описательные фаунистические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ХVIII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ХIХ вв</w:t>
      </w:r>
      <w:r>
        <w:rPr>
          <w:rFonts w:ascii="Times New Roman" w:hAnsi="Times New Roman" w:cs="Times New Roman"/>
          <w:color w:val="000000"/>
          <w:sz w:val="28"/>
          <w:szCs w:val="28"/>
        </w:rPr>
        <w:t>.; 2 - инвентаризация фауны зем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новодных и пресмыкающихся и изучение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экологии и населения во второй половине ХХ в.;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углубленные исследования динамики ареалов и популя</w:t>
      </w:r>
      <w:r>
        <w:rPr>
          <w:rFonts w:ascii="Times New Roman" w:hAnsi="Times New Roman" w:cs="Times New Roman"/>
          <w:color w:val="000000"/>
          <w:sz w:val="28"/>
          <w:szCs w:val="28"/>
        </w:rPr>
        <w:t>ций амфибий и рептилий, их внут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ривидовой изменчивости, тонких особенностей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экологии и лимитирующих факторов в конце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ХХ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начале ХХI 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Научное изучение </w:t>
      </w:r>
      <w:proofErr w:type="spellStart"/>
      <w:r w:rsidRPr="00FB2692">
        <w:rPr>
          <w:rFonts w:ascii="Times New Roman" w:hAnsi="Times New Roman" w:cs="Times New Roman"/>
          <w:color w:val="000000"/>
          <w:sz w:val="28"/>
          <w:szCs w:val="28"/>
        </w:rPr>
        <w:t>герпетофауны</w:t>
      </w:r>
      <w:proofErr w:type="spellEnd"/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 Нижнего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Поволжья началось во второй половине ХVIII 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с Академич</w:t>
      </w:r>
      <w:r>
        <w:rPr>
          <w:rFonts w:ascii="Times New Roman" w:hAnsi="Times New Roman" w:cs="Times New Roman"/>
          <w:color w:val="000000"/>
          <w:sz w:val="28"/>
          <w:szCs w:val="28"/>
        </w:rPr>
        <w:t>еских экспедиций, маршруты кото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рых прошли по Дону и Волге. В Царицыне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прилежащих районах собирали свои материалы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П. С. Паллас (Паллас, 1788; </w:t>
      </w:r>
      <w:proofErr w:type="spellStart"/>
      <w:r w:rsidRPr="00FB2692">
        <w:rPr>
          <w:rFonts w:ascii="Times New Roman" w:hAnsi="Times New Roman" w:cs="Times New Roman"/>
          <w:color w:val="000000"/>
          <w:sz w:val="28"/>
          <w:szCs w:val="28"/>
        </w:rPr>
        <w:t>Pallas</w:t>
      </w:r>
      <w:proofErr w:type="spellEnd"/>
      <w:r w:rsidRPr="00FB2692">
        <w:rPr>
          <w:rFonts w:ascii="Times New Roman" w:hAnsi="Times New Roman" w:cs="Times New Roman"/>
          <w:color w:val="000000"/>
          <w:sz w:val="28"/>
          <w:szCs w:val="28"/>
        </w:rPr>
        <w:t>, 1799),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С. Г. </w:t>
      </w:r>
      <w:proofErr w:type="spellStart"/>
      <w:r w:rsidRPr="00FB2692">
        <w:rPr>
          <w:rFonts w:ascii="Times New Roman" w:hAnsi="Times New Roman" w:cs="Times New Roman"/>
          <w:color w:val="000000"/>
          <w:sz w:val="28"/>
          <w:szCs w:val="28"/>
        </w:rPr>
        <w:t>Гмелин</w:t>
      </w:r>
      <w:proofErr w:type="spellEnd"/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 (1771, 1777), И. И. Лепехин (1771)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49BC">
        <w:rPr>
          <w:rFonts w:ascii="Times New Roman" w:hAnsi="Times New Roman" w:cs="Times New Roman"/>
          <w:color w:val="000000"/>
          <w:sz w:val="28"/>
          <w:szCs w:val="28"/>
        </w:rPr>
        <w:t>[2]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3987" w:rsidRPr="00FB2692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Первые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систематизированные 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FB2692">
        <w:rPr>
          <w:rFonts w:ascii="Times New Roman" w:hAnsi="Times New Roman" w:cs="Times New Roman"/>
          <w:color w:val="000000"/>
          <w:sz w:val="28"/>
          <w:szCs w:val="28"/>
        </w:rPr>
        <w:t>герпетофауне</w:t>
      </w:r>
      <w:proofErr w:type="spellEnd"/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 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найти в обз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оре Василия Кондратьева (1885) -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гимназического учителя естественной истории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из г. Новоче</w:t>
      </w:r>
      <w:r>
        <w:rPr>
          <w:rFonts w:ascii="Times New Roman" w:hAnsi="Times New Roman" w:cs="Times New Roman"/>
          <w:color w:val="000000"/>
          <w:sz w:val="28"/>
          <w:szCs w:val="28"/>
        </w:rPr>
        <w:t>ркасска. На основе анкетных дан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ных, специально собиравшихся из всех округов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области Войска Донского по заданию Войсковой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администрации, он в 1822 г. достаточно полно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описал фауну зверей, птиц, «земноводных»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рыб этой области, включавшей тогда 3 северных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округа, перешедшие в 1920 г. к Волгоградской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области. Его материалы были опубликованы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1885 -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 1886 гг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Новочеркасской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областной га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зете «Казачи</w:t>
      </w:r>
      <w:r>
        <w:rPr>
          <w:rFonts w:ascii="Times New Roman" w:hAnsi="Times New Roman" w:cs="Times New Roman"/>
          <w:color w:val="000000"/>
          <w:sz w:val="28"/>
          <w:szCs w:val="28"/>
        </w:rPr>
        <w:t>й вестник» (сведения о земновод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ных и репт</w:t>
      </w:r>
      <w:r>
        <w:rPr>
          <w:rFonts w:ascii="Times New Roman" w:hAnsi="Times New Roman" w:cs="Times New Roman"/>
          <w:color w:val="000000"/>
          <w:sz w:val="28"/>
          <w:szCs w:val="28"/>
        </w:rPr>
        <w:t>илиях - в № 59 и 61 за 1885 г.)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3987" w:rsidRPr="00FB2692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692">
        <w:rPr>
          <w:rFonts w:ascii="Times New Roman" w:hAnsi="Times New Roman" w:cs="Times New Roman"/>
          <w:color w:val="000000"/>
          <w:sz w:val="28"/>
          <w:szCs w:val="28"/>
        </w:rPr>
        <w:t>В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е В. Кондратьева перечислены ев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ропейская, или круглая черепаха, жаба, огненная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жаба (судя по описанию, жерлянка 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Bombina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bombina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 В. Б.), домашняя </w:t>
      </w:r>
      <w:proofErr w:type="spellStart"/>
      <w:r w:rsidRPr="00FB2692">
        <w:rPr>
          <w:rFonts w:ascii="Times New Roman" w:hAnsi="Times New Roman" w:cs="Times New Roman"/>
          <w:color w:val="000000"/>
          <w:sz w:val="28"/>
          <w:szCs w:val="28"/>
        </w:rPr>
        <w:t>унка</w:t>
      </w:r>
      <w:proofErr w:type="spellEnd"/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 (чесночница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Pelobates</w:t>
      </w:r>
      <w:proofErr w:type="spellEnd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fuscus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 В. Б.), бурая травяная лягушка,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зелёная водяная лягушка, обыкновенная зелёная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ящерица,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обыкновенный уж, желтобрюх, серая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змея (гадюка 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Vipera</w:t>
      </w:r>
      <w:proofErr w:type="spellEnd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renardi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 В. Б.), медяница.</w:t>
      </w:r>
    </w:p>
    <w:p w:rsidR="00563987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692">
        <w:rPr>
          <w:rFonts w:ascii="Times New Roman" w:hAnsi="Times New Roman" w:cs="Times New Roman"/>
          <w:color w:val="000000"/>
          <w:sz w:val="28"/>
          <w:szCs w:val="28"/>
        </w:rPr>
        <w:t>В середине ХIХ в. А. Беккер (</w:t>
      </w:r>
      <w:proofErr w:type="spellStart"/>
      <w:r w:rsidRPr="00FB2692">
        <w:rPr>
          <w:rFonts w:ascii="Times New Roman" w:hAnsi="Times New Roman" w:cs="Times New Roman"/>
          <w:color w:val="000000"/>
          <w:sz w:val="28"/>
          <w:szCs w:val="28"/>
        </w:rPr>
        <w:t>Becker</w:t>
      </w:r>
      <w:proofErr w:type="spellEnd"/>
      <w:r w:rsidRPr="00FB269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1855), собир</w:t>
      </w:r>
      <w:r>
        <w:rPr>
          <w:rFonts w:ascii="Times New Roman" w:hAnsi="Times New Roman" w:cs="Times New Roman"/>
          <w:color w:val="000000"/>
          <w:sz w:val="28"/>
          <w:szCs w:val="28"/>
        </w:rPr>
        <w:t>авший ботанические и энтомологи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ческие матер</w:t>
      </w:r>
      <w:r>
        <w:rPr>
          <w:rFonts w:ascii="Times New Roman" w:hAnsi="Times New Roman" w:cs="Times New Roman"/>
          <w:color w:val="000000"/>
          <w:sz w:val="28"/>
          <w:szCs w:val="28"/>
        </w:rPr>
        <w:t>иалы в окрестностях немецкой ко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лонии </w:t>
      </w:r>
      <w:proofErr w:type="spellStart"/>
      <w:r w:rsidRPr="00FB2692">
        <w:rPr>
          <w:rFonts w:ascii="Times New Roman" w:hAnsi="Times New Roman" w:cs="Times New Roman"/>
          <w:color w:val="000000"/>
          <w:sz w:val="28"/>
          <w:szCs w:val="28"/>
        </w:rPr>
        <w:t>Сарепты</w:t>
      </w:r>
      <w:proofErr w:type="spellEnd"/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 на Нижней Волге, кратко описал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proofErr w:type="spellStart"/>
      <w:r w:rsidRPr="00FB2692">
        <w:rPr>
          <w:rFonts w:ascii="Times New Roman" w:hAnsi="Times New Roman" w:cs="Times New Roman"/>
          <w:color w:val="000000"/>
          <w:sz w:val="28"/>
          <w:szCs w:val="28"/>
        </w:rPr>
        <w:t>герпетофауну</w:t>
      </w:r>
      <w:proofErr w:type="spellEnd"/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 этого района. В его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упомянуты 3 вида земноводных (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Rana</w:t>
      </w:r>
      <w:proofErr w:type="spellEnd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temporaria</w:t>
      </w:r>
      <w:proofErr w:type="spellEnd"/>
      <w:r w:rsidRPr="00FB269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8B62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esculenta</w:t>
      </w:r>
      <w:proofErr w:type="spellEnd"/>
      <w:r w:rsidRPr="008B62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Bufo</w:t>
      </w:r>
      <w:proofErr w:type="spellEnd"/>
      <w:r w:rsidRPr="008B62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variabilis</w:t>
      </w:r>
      <w:proofErr w:type="spellEnd"/>
      <w:r w:rsidRPr="008B6249">
        <w:rPr>
          <w:rFonts w:ascii="Times New Roman" w:hAnsi="Times New Roman" w:cs="Times New Roman"/>
          <w:color w:val="000000"/>
          <w:sz w:val="28"/>
          <w:szCs w:val="28"/>
        </w:rPr>
        <w:t xml:space="preserve">), 4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вида</w:t>
      </w:r>
      <w:r w:rsidRPr="008B6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ящериц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624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Lacerta</w:t>
      </w:r>
      <w:r w:rsidRPr="008B62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agilis</w:t>
      </w:r>
      <w:proofErr w:type="spellEnd"/>
      <w:r w:rsidRPr="008B62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Pr="008B62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viridis</w:t>
      </w:r>
      <w:proofErr w:type="spellEnd"/>
      <w:r w:rsidRPr="008B62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Pr="008B62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variabilis</w:t>
      </w:r>
      <w:proofErr w:type="spellEnd"/>
      <w:r w:rsidRPr="008B62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Pr="008B62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crocera</w:t>
      </w:r>
      <w:proofErr w:type="spellEnd"/>
      <w:r w:rsidRPr="008B624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B6249"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видов</w:t>
      </w:r>
      <w:r w:rsidRPr="008B6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змей</w:t>
      </w:r>
      <w:r w:rsidRPr="008B624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Coluber</w:t>
      </w:r>
      <w:proofErr w:type="spellEnd"/>
      <w:r w:rsidRPr="008B62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austriaca</w:t>
      </w:r>
      <w:proofErr w:type="spellEnd"/>
      <w:r w:rsidRPr="008B62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</w:t>
      </w:r>
      <w:r w:rsidRPr="008B62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dione</w:t>
      </w:r>
      <w:proofErr w:type="spellEnd"/>
      <w:r w:rsidRPr="008B62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</w:t>
      </w:r>
      <w:r w:rsidRPr="008B62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natrix</w:t>
      </w:r>
      <w:proofErr w:type="spellEnd"/>
      <w:r w:rsidRPr="008B624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</w:t>
      </w:r>
      <w:r w:rsidRPr="008B62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hydris</w:t>
      </w:r>
      <w:proofErr w:type="spellEnd"/>
      <w:r w:rsidRPr="008B62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</w:t>
      </w:r>
      <w:r w:rsidRPr="008B62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trabalis</w:t>
      </w:r>
      <w:proofErr w:type="spellEnd"/>
      <w:r w:rsidRPr="008B62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Vipera</w:t>
      </w:r>
      <w:proofErr w:type="spellEnd"/>
      <w:r w:rsidRPr="008B62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berus</w:t>
      </w:r>
      <w:proofErr w:type="spellEnd"/>
      <w:r w:rsidRPr="008B624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563987" w:rsidRPr="00FB2692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692">
        <w:rPr>
          <w:rFonts w:ascii="Times New Roman" w:hAnsi="Times New Roman" w:cs="Times New Roman"/>
          <w:color w:val="000000"/>
          <w:sz w:val="28"/>
          <w:szCs w:val="28"/>
        </w:rPr>
        <w:t>В нач</w:t>
      </w:r>
      <w:r>
        <w:rPr>
          <w:rFonts w:ascii="Times New Roman" w:hAnsi="Times New Roman" w:cs="Times New Roman"/>
          <w:color w:val="000000"/>
          <w:sz w:val="28"/>
          <w:szCs w:val="28"/>
        </w:rPr>
        <w:t>але ХХ в. амфибий и рептилий об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ласти Войска Донского в течение 3 лет активно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изучал В. </w:t>
      </w:r>
      <w:proofErr w:type="spellStart"/>
      <w:r w:rsidRPr="00FB2692">
        <w:rPr>
          <w:rFonts w:ascii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hAnsi="Times New Roman" w:cs="Times New Roman"/>
          <w:color w:val="000000"/>
          <w:sz w:val="28"/>
          <w:szCs w:val="28"/>
        </w:rPr>
        <w:t>зирицкий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(1913), посетивший мно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гие районы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Среднем Дону, в том числе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Кумылженские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Голубинские пески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63987" w:rsidRPr="00FB2692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692">
        <w:rPr>
          <w:rFonts w:ascii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численные выше материалы по рас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пространен</w:t>
      </w:r>
      <w:r>
        <w:rPr>
          <w:rFonts w:ascii="Times New Roman" w:hAnsi="Times New Roman" w:cs="Times New Roman"/>
          <w:color w:val="000000"/>
          <w:sz w:val="28"/>
          <w:szCs w:val="28"/>
        </w:rPr>
        <w:t>ию амфибий и рептилий были обоб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щены в известных сводках А. М. Никольского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(1915, 1916, 1918), которые фактически подвели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итоги изучен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герпетофауны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в ХVIII -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начале ХХ 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Дальн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ейшие герпетологические исследо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вания возобновились в Нижнем Поволжье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в середине ХХ с</w:t>
      </w:r>
      <w:r>
        <w:rPr>
          <w:rFonts w:ascii="Times New Roman" w:hAnsi="Times New Roman" w:cs="Times New Roman"/>
          <w:color w:val="000000"/>
          <w:sz w:val="28"/>
          <w:szCs w:val="28"/>
        </w:rPr>
        <w:t>т. В 1948 – 1949 гг. распростра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нение и экологию пресмык</w:t>
      </w:r>
      <w:r>
        <w:rPr>
          <w:rFonts w:ascii="Times New Roman" w:hAnsi="Times New Roman" w:cs="Times New Roman"/>
          <w:color w:val="000000"/>
          <w:sz w:val="28"/>
          <w:szCs w:val="28"/>
        </w:rPr>
        <w:t>ающихся на юге Ста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линградской области, включавшей тогда значительную часть территории нынешней Калмыкии,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специально изучала Н. А. Косарева (1950). В тот же период,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1956 г., на каф</w:t>
      </w:r>
      <w:r>
        <w:rPr>
          <w:rFonts w:ascii="Times New Roman" w:hAnsi="Times New Roman" w:cs="Times New Roman"/>
          <w:color w:val="000000"/>
          <w:sz w:val="28"/>
          <w:szCs w:val="28"/>
        </w:rPr>
        <w:t>едре зоологии Волгоградского пе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дагогического института начал работу Борис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Сергеевич Кубанцев (1924 -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 2003), приехавший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из г. Горького после окончания аспирантуры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затем до 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исполнявший в институте обя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занности преподавателя, заведующего кафедрой,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декана, прор</w:t>
      </w:r>
      <w:r>
        <w:rPr>
          <w:rFonts w:ascii="Times New Roman" w:hAnsi="Times New Roman" w:cs="Times New Roman"/>
          <w:color w:val="000000"/>
          <w:sz w:val="28"/>
          <w:szCs w:val="28"/>
        </w:rPr>
        <w:t>ектора. Занимаясь в основном те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риологией, он постоянно уделял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внимание, кро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ме того, изу</w:t>
      </w:r>
      <w:r>
        <w:rPr>
          <w:rFonts w:ascii="Times New Roman" w:hAnsi="Times New Roman" w:cs="Times New Roman"/>
          <w:color w:val="000000"/>
          <w:sz w:val="28"/>
          <w:szCs w:val="28"/>
        </w:rPr>
        <w:t>чению распространения, численно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сти и экологии амфибий и рептилий Нижнего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Поволжья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63987" w:rsidRPr="002349BC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Под руководством Б. С. </w:t>
      </w:r>
      <w:proofErr w:type="spellStart"/>
      <w:r w:rsidRPr="00FB2692">
        <w:rPr>
          <w:rFonts w:ascii="Times New Roman" w:hAnsi="Times New Roman" w:cs="Times New Roman"/>
          <w:color w:val="000000"/>
          <w:sz w:val="28"/>
          <w:szCs w:val="28"/>
        </w:rPr>
        <w:t>Кубанцева</w:t>
      </w:r>
      <w:proofErr w:type="spellEnd"/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ученики и сотру</w:t>
      </w:r>
      <w:r>
        <w:rPr>
          <w:rFonts w:ascii="Times New Roman" w:hAnsi="Times New Roman" w:cs="Times New Roman"/>
          <w:color w:val="000000"/>
          <w:sz w:val="28"/>
          <w:szCs w:val="28"/>
        </w:rPr>
        <w:t>дники начали в 1970-е гг. иссле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довать на Волге различные аспекты биологии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озёрной лягушки (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Rana</w:t>
      </w:r>
      <w:proofErr w:type="spellEnd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ridibunda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и зелёной жа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бы (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Bufo</w:t>
      </w:r>
      <w:proofErr w:type="spellEnd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viridis</w:t>
      </w:r>
      <w:proofErr w:type="spellEnd"/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) (Жукова,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родничев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Ковылки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. А в </w:t>
      </w:r>
      <w:r>
        <w:rPr>
          <w:rFonts w:ascii="Times New Roman" w:hAnsi="Times New Roman" w:cs="Times New Roman"/>
          <w:color w:val="000000"/>
          <w:sz w:val="28"/>
          <w:szCs w:val="28"/>
        </w:rPr>
        <w:t>1980-е гг. близким, активным по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мощником Б. С. </w:t>
      </w:r>
      <w:proofErr w:type="spellStart"/>
      <w:r w:rsidRPr="00FB2692">
        <w:rPr>
          <w:rFonts w:ascii="Times New Roman" w:hAnsi="Times New Roman" w:cs="Times New Roman"/>
          <w:color w:val="000000"/>
          <w:sz w:val="28"/>
          <w:szCs w:val="28"/>
        </w:rPr>
        <w:t>Кубанцева</w:t>
      </w:r>
      <w:proofErr w:type="spellEnd"/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стал Н. Н. </w:t>
      </w:r>
      <w:proofErr w:type="spellStart"/>
      <w:r w:rsidRPr="00FB2692">
        <w:rPr>
          <w:rFonts w:ascii="Times New Roman" w:hAnsi="Times New Roman" w:cs="Times New Roman"/>
          <w:color w:val="000000"/>
          <w:sz w:val="28"/>
          <w:szCs w:val="28"/>
        </w:rPr>
        <w:t>Колякин</w:t>
      </w:r>
      <w:proofErr w:type="spellEnd"/>
      <w:r w:rsidRPr="00FB269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изучавший </w:t>
      </w:r>
      <w:r>
        <w:rPr>
          <w:rFonts w:ascii="Times New Roman" w:hAnsi="Times New Roman" w:cs="Times New Roman"/>
          <w:color w:val="000000"/>
          <w:sz w:val="28"/>
          <w:szCs w:val="28"/>
        </w:rPr>
        <w:t>в основном пресмыкающихся и зем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новодных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ижнего Поволжья </w:t>
      </w:r>
      <w:r w:rsidRPr="002349BC">
        <w:rPr>
          <w:rFonts w:ascii="Times New Roman" w:hAnsi="Times New Roman" w:cs="Times New Roman"/>
          <w:color w:val="000000"/>
          <w:sz w:val="28"/>
          <w:szCs w:val="28"/>
        </w:rPr>
        <w:t>[2]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3987" w:rsidRPr="00FB2692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692">
        <w:rPr>
          <w:rFonts w:ascii="Times New Roman" w:hAnsi="Times New Roman" w:cs="Times New Roman"/>
          <w:color w:val="000000"/>
          <w:sz w:val="28"/>
          <w:szCs w:val="28"/>
        </w:rPr>
        <w:t>Кроме волгоградских зоологов, изучением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амфибий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рептилий Нижнего Поволжья зани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мались также московски</w:t>
      </w:r>
      <w:r>
        <w:rPr>
          <w:rFonts w:ascii="Times New Roman" w:hAnsi="Times New Roman" w:cs="Times New Roman"/>
          <w:color w:val="000000"/>
          <w:sz w:val="28"/>
          <w:szCs w:val="28"/>
        </w:rPr>
        <w:t>е ученые. Так, с середи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ны ХХ в. ими ведется регулярный мониторинг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фауны </w:t>
      </w:r>
      <w:proofErr w:type="spellStart"/>
      <w:r w:rsidRPr="00FB2692">
        <w:rPr>
          <w:rFonts w:ascii="Times New Roman" w:hAnsi="Times New Roman" w:cs="Times New Roman"/>
          <w:color w:val="000000"/>
          <w:sz w:val="28"/>
          <w:szCs w:val="28"/>
        </w:rPr>
        <w:t>Приэльтонья</w:t>
      </w:r>
      <w:proofErr w:type="spellEnd"/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FB2692">
        <w:rPr>
          <w:rFonts w:ascii="Times New Roman" w:hAnsi="Times New Roman" w:cs="Times New Roman"/>
          <w:color w:val="000000"/>
          <w:sz w:val="28"/>
          <w:szCs w:val="28"/>
        </w:rPr>
        <w:t>Динесман</w:t>
      </w:r>
      <w:proofErr w:type="spellEnd"/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B2692">
        <w:rPr>
          <w:rFonts w:ascii="Times New Roman" w:hAnsi="Times New Roman" w:cs="Times New Roman"/>
          <w:color w:val="000000"/>
          <w:sz w:val="28"/>
          <w:szCs w:val="28"/>
        </w:rPr>
        <w:t>Ходашова</w:t>
      </w:r>
      <w:proofErr w:type="spellEnd"/>
      <w:proofErr w:type="gramEnd"/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; Быков; </w:t>
      </w:r>
      <w:proofErr w:type="spellStart"/>
      <w:r w:rsidRPr="00FB2692">
        <w:rPr>
          <w:rFonts w:ascii="Times New Roman" w:hAnsi="Times New Roman" w:cs="Times New Roman"/>
          <w:color w:val="000000"/>
          <w:sz w:val="28"/>
          <w:szCs w:val="28"/>
        </w:rPr>
        <w:t>Линдеман</w:t>
      </w:r>
      <w:proofErr w:type="spellEnd"/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563987" w:rsidRPr="00FB2692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color w:val="000000"/>
          <w:sz w:val="28"/>
          <w:szCs w:val="28"/>
        </w:rPr>
        <w:t>там прослежена многолетняя дина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мика численн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ости практически всех видов зем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ново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дных и пресмыкающихся: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показавшая расселение озёрн</w:t>
      </w:r>
      <w:r>
        <w:rPr>
          <w:rFonts w:ascii="Times New Roman" w:hAnsi="Times New Roman" w:cs="Times New Roman"/>
          <w:color w:val="000000"/>
          <w:sz w:val="28"/>
          <w:szCs w:val="28"/>
        </w:rPr>
        <w:t>ой лягушки в связи с ирригацион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ными работами в полупустынях Зав</w:t>
      </w:r>
      <w:r>
        <w:rPr>
          <w:rFonts w:ascii="Times New Roman" w:hAnsi="Times New Roman" w:cs="Times New Roman"/>
          <w:color w:val="000000"/>
          <w:sz w:val="28"/>
          <w:szCs w:val="28"/>
        </w:rPr>
        <w:t>олжья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Линдеман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563987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692">
        <w:rPr>
          <w:rFonts w:ascii="Times New Roman" w:hAnsi="Times New Roman" w:cs="Times New Roman"/>
          <w:color w:val="000000"/>
          <w:sz w:val="28"/>
          <w:szCs w:val="28"/>
        </w:rPr>
        <w:t>Несмотря на значительное количество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 по изучению распростране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ния, численности и экологии земноводных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рептилий Н</w:t>
      </w:r>
      <w:r>
        <w:rPr>
          <w:rFonts w:ascii="Times New Roman" w:hAnsi="Times New Roman" w:cs="Times New Roman"/>
          <w:color w:val="000000"/>
          <w:sz w:val="28"/>
          <w:szCs w:val="28"/>
        </w:rPr>
        <w:t>ижнего Поволжья, обширные терри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тории Волгоградской области, особенно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севе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ре и северо-запа</w:t>
      </w:r>
      <w:r>
        <w:rPr>
          <w:rFonts w:ascii="Times New Roman" w:hAnsi="Times New Roman" w:cs="Times New Roman"/>
          <w:color w:val="000000"/>
          <w:sz w:val="28"/>
          <w:szCs w:val="28"/>
        </w:rPr>
        <w:t>де, а также почти всё Волгоград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ское Заволжье, кроме </w:t>
      </w:r>
      <w:proofErr w:type="spellStart"/>
      <w:r w:rsidRPr="00FB2692">
        <w:rPr>
          <w:rFonts w:ascii="Times New Roman" w:hAnsi="Times New Roman" w:cs="Times New Roman"/>
          <w:color w:val="000000"/>
          <w:sz w:val="28"/>
          <w:szCs w:val="28"/>
        </w:rPr>
        <w:t>Приэльтонья</w:t>
      </w:r>
      <w:proofErr w:type="spellEnd"/>
      <w:r w:rsidRPr="00FB2692">
        <w:rPr>
          <w:rFonts w:ascii="Times New Roman" w:hAnsi="Times New Roman" w:cs="Times New Roman"/>
          <w:color w:val="000000"/>
          <w:sz w:val="28"/>
          <w:szCs w:val="28"/>
        </w:rPr>
        <w:t>, до сих пор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еще остаются на герпетологических картах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большим белым пятном. </w:t>
      </w:r>
    </w:p>
    <w:p w:rsidR="00563987" w:rsidRDefault="00563987" w:rsidP="00563987">
      <w:pPr>
        <w:spacing w:after="0"/>
        <w:jc w:val="both"/>
      </w:pPr>
    </w:p>
    <w:p w:rsidR="00563987" w:rsidRDefault="00563987" w:rsidP="00563987">
      <w:pPr>
        <w:spacing w:after="0"/>
        <w:jc w:val="both"/>
      </w:pPr>
    </w:p>
    <w:p w:rsidR="00563987" w:rsidRDefault="00563987" w:rsidP="00563987">
      <w:pPr>
        <w:spacing w:after="0"/>
        <w:jc w:val="both"/>
      </w:pPr>
    </w:p>
    <w:p w:rsidR="00563987" w:rsidRDefault="00563987" w:rsidP="00563987">
      <w:pPr>
        <w:spacing w:after="0"/>
        <w:jc w:val="both"/>
      </w:pPr>
    </w:p>
    <w:p w:rsidR="00563987" w:rsidRDefault="00563987" w:rsidP="00563987">
      <w:pPr>
        <w:spacing w:after="0"/>
        <w:jc w:val="both"/>
      </w:pPr>
    </w:p>
    <w:p w:rsidR="00563987" w:rsidRDefault="00563987" w:rsidP="00563987">
      <w:pPr>
        <w:spacing w:after="0"/>
        <w:jc w:val="both"/>
      </w:pPr>
    </w:p>
    <w:p w:rsidR="00563987" w:rsidRDefault="00563987" w:rsidP="00563987">
      <w:pPr>
        <w:spacing w:after="0"/>
        <w:jc w:val="both"/>
      </w:pPr>
    </w:p>
    <w:p w:rsidR="00563987" w:rsidRDefault="00563987" w:rsidP="00563987">
      <w:pPr>
        <w:spacing w:after="0"/>
        <w:jc w:val="both"/>
      </w:pPr>
    </w:p>
    <w:p w:rsidR="00563987" w:rsidRDefault="00563987" w:rsidP="00563987">
      <w:pPr>
        <w:spacing w:after="0"/>
        <w:jc w:val="both"/>
      </w:pPr>
    </w:p>
    <w:p w:rsidR="00563987" w:rsidRDefault="00563987" w:rsidP="00563987">
      <w:pPr>
        <w:spacing w:after="0"/>
        <w:jc w:val="both"/>
      </w:pPr>
    </w:p>
    <w:p w:rsidR="00563987" w:rsidRDefault="00563987" w:rsidP="00563987">
      <w:pPr>
        <w:spacing w:after="0"/>
        <w:jc w:val="both"/>
      </w:pPr>
    </w:p>
    <w:p w:rsidR="00563987" w:rsidRDefault="00563987" w:rsidP="00563987">
      <w:pPr>
        <w:spacing w:after="0"/>
        <w:jc w:val="both"/>
      </w:pPr>
    </w:p>
    <w:p w:rsidR="00563987" w:rsidRDefault="00563987" w:rsidP="00563987">
      <w:pPr>
        <w:spacing w:after="0"/>
        <w:jc w:val="both"/>
      </w:pPr>
    </w:p>
    <w:p w:rsidR="00563987" w:rsidRDefault="00563987" w:rsidP="00563987">
      <w:pPr>
        <w:spacing w:after="0"/>
        <w:jc w:val="both"/>
      </w:pPr>
    </w:p>
    <w:p w:rsidR="00563987" w:rsidRDefault="00563987" w:rsidP="00563987">
      <w:pPr>
        <w:spacing w:after="0"/>
        <w:jc w:val="both"/>
      </w:pPr>
    </w:p>
    <w:p w:rsidR="00563987" w:rsidRDefault="00563987" w:rsidP="00563987">
      <w:pPr>
        <w:spacing w:after="0"/>
        <w:jc w:val="both"/>
      </w:pPr>
    </w:p>
    <w:p w:rsidR="00563987" w:rsidRDefault="00563987" w:rsidP="00563987">
      <w:pPr>
        <w:spacing w:after="0"/>
        <w:jc w:val="both"/>
      </w:pPr>
    </w:p>
    <w:p w:rsidR="00563987" w:rsidRDefault="00563987" w:rsidP="00563987">
      <w:pPr>
        <w:spacing w:after="0"/>
        <w:jc w:val="both"/>
      </w:pPr>
    </w:p>
    <w:p w:rsidR="00563987" w:rsidRDefault="00563987" w:rsidP="00563987">
      <w:pPr>
        <w:spacing w:after="0"/>
        <w:jc w:val="both"/>
      </w:pPr>
    </w:p>
    <w:p w:rsidR="00563987" w:rsidRDefault="00563987" w:rsidP="00563987">
      <w:pPr>
        <w:spacing w:after="0"/>
        <w:jc w:val="both"/>
      </w:pPr>
    </w:p>
    <w:p w:rsidR="00563987" w:rsidRDefault="00563987" w:rsidP="00563987">
      <w:pPr>
        <w:spacing w:after="0"/>
        <w:jc w:val="both"/>
      </w:pPr>
    </w:p>
    <w:p w:rsidR="00563987" w:rsidRDefault="00563987" w:rsidP="00563987">
      <w:pPr>
        <w:spacing w:after="0"/>
        <w:jc w:val="both"/>
      </w:pPr>
    </w:p>
    <w:p w:rsidR="00563987" w:rsidRDefault="00563987" w:rsidP="00563987">
      <w:pPr>
        <w:spacing w:after="0"/>
        <w:jc w:val="both"/>
      </w:pPr>
    </w:p>
    <w:p w:rsidR="00563987" w:rsidRPr="007D597F" w:rsidRDefault="00563987" w:rsidP="0056398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D59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ГЛАВА 2. </w:t>
      </w:r>
      <w:proofErr w:type="gramStart"/>
      <w:r w:rsidRPr="007D59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Практическое  исследование</w:t>
      </w:r>
      <w:proofErr w:type="gramEnd"/>
      <w:r w:rsidRPr="007D59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структуры популяции озерной лягушки</w:t>
      </w:r>
    </w:p>
    <w:p w:rsidR="00563987" w:rsidRDefault="00563987" w:rsidP="00563987">
      <w:pPr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D59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</w:t>
      </w:r>
      <w:proofErr w:type="gramStart"/>
      <w:r w:rsidRPr="007D59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1.Основные</w:t>
      </w:r>
      <w:proofErr w:type="gramEnd"/>
      <w:r w:rsidRPr="007D59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методы учета популяции земноводных</w:t>
      </w:r>
    </w:p>
    <w:p w:rsidR="00563987" w:rsidRPr="007D597F" w:rsidRDefault="00563987" w:rsidP="00563987">
      <w:pPr>
        <w:spacing w:after="0"/>
        <w:jc w:val="center"/>
        <w:rPr>
          <w:b/>
        </w:rPr>
      </w:pPr>
    </w:p>
    <w:p w:rsidR="00563987" w:rsidRPr="00B75D2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t>Земноводные (амфиби</w:t>
      </w:r>
      <w:r>
        <w:rPr>
          <w:rFonts w:ascii="Times New Roman" w:eastAsia="TimesNewRomanPSMT" w:hAnsi="Times New Roman" w:cs="Times New Roman"/>
          <w:sz w:val="28"/>
          <w:szCs w:val="28"/>
        </w:rPr>
        <w:t>и) и пресмыкающиеся (рептилии) -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 xml:space="preserve"> довольно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удобные группы позвоночных для наблюдения и изучения. Это древнейшие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группы наземных позвоночных животных, весьма широко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распространенные и в то же время недостаточно изученные.</w:t>
      </w:r>
    </w:p>
    <w:p w:rsidR="00563987" w:rsidRPr="002349BC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t>Велика и разнообразна роль этих животных в экосистемах и жизни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человека. Они поедают большое количество различных беспозвоночных,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том числе и так называемых «вредителей», сами служат пищей для многих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птиц и зверей</w:t>
      </w:r>
      <w:r w:rsidRPr="002349BC">
        <w:rPr>
          <w:rFonts w:ascii="Times New Roman" w:eastAsia="TimesNewRomanPSMT" w:hAnsi="Times New Roman" w:cs="Times New Roman"/>
          <w:sz w:val="28"/>
          <w:szCs w:val="28"/>
        </w:rPr>
        <w:t xml:space="preserve"> [3]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63987" w:rsidRPr="002349BC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t>В последнее время многие виды амфибий и рептилий используются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качестве биоиндикаторов состояния экосистем при проведении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экологического мониторинга. При этом специалисты проводят сравнительное изучение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популяций, обитающих на территориях с различной степенью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антропогенного воздействия. Результаты подобных исследований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позволяют оценить возможное влияние окружающей среды на здоровье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самого человека</w:t>
      </w:r>
      <w:r w:rsidR="005367D2">
        <w:rPr>
          <w:rFonts w:ascii="Times New Roman" w:eastAsia="TimesNewRomanPSMT" w:hAnsi="Times New Roman" w:cs="Times New Roman"/>
          <w:sz w:val="28"/>
          <w:szCs w:val="28"/>
        </w:rPr>
        <w:t xml:space="preserve"> [4</w:t>
      </w:r>
      <w:r w:rsidRPr="002349BC">
        <w:rPr>
          <w:rFonts w:ascii="Times New Roman" w:eastAsia="TimesNewRomanPSMT" w:hAnsi="Times New Roman" w:cs="Times New Roman"/>
          <w:sz w:val="28"/>
          <w:szCs w:val="28"/>
        </w:rPr>
        <w:t>]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63987" w:rsidRPr="00213DB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213DBD">
        <w:rPr>
          <w:rFonts w:ascii="Times New Roman" w:eastAsia="TimesNewRomanPSMT" w:hAnsi="Times New Roman" w:cs="Times New Roman"/>
          <w:i/>
          <w:sz w:val="28"/>
          <w:szCs w:val="28"/>
        </w:rPr>
        <w:t>Маршрутный учет</w:t>
      </w:r>
    </w:p>
    <w:p w:rsidR="00563987" w:rsidRPr="00B75D2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t xml:space="preserve">Довольно полную информацию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 структуре популяции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можно получить в результате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проведения маршрутных учетов. При этом для получения сопоставимых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данных следует руковод</w:t>
      </w:r>
      <w:r>
        <w:rPr>
          <w:rFonts w:ascii="Times New Roman" w:eastAsia="TimesNewRomanPSMT" w:hAnsi="Times New Roman" w:cs="Times New Roman"/>
          <w:sz w:val="28"/>
          <w:szCs w:val="28"/>
        </w:rPr>
        <w:t>ствоваться следующими правилами:</w:t>
      </w:r>
    </w:p>
    <w:p w:rsidR="00563987" w:rsidRPr="00B75D2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t>1. Учет проводится на лентах, ширина которых для одного человека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равна 1 м на сильно заросших травой участках и в ночное время и 2 м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открытых местах днем. Важно строго соблюдать выбранную ширину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учетной полосы, а не стараться сосчитать как можно больше животных.</w:t>
      </w:r>
    </w:p>
    <w:p w:rsidR="00563987" w:rsidRPr="00B75D2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t>Длина маршрута - от нескольких десятков метров (по берегам небольших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 xml:space="preserve">водоемов) до нескольких километров. При учете </w:t>
      </w:r>
      <w:proofErr w:type="gramStart"/>
      <w:r w:rsidRPr="00B75D2D">
        <w:rPr>
          <w:rFonts w:ascii="Times New Roman" w:eastAsia="TimesNewRomanPSMT" w:hAnsi="Times New Roman" w:cs="Times New Roman"/>
          <w:sz w:val="28"/>
          <w:szCs w:val="28"/>
        </w:rPr>
        <w:t xml:space="preserve">земноводных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дли</w:t>
      </w:r>
      <w:r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маршрута может составлять 1 -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 xml:space="preserve"> 2 км.</w:t>
      </w:r>
    </w:p>
    <w:p w:rsidR="00563987" w:rsidRPr="00B75D2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lastRenderedPageBreak/>
        <w:t>2. Каждый маршрут (или отдельные его части) должен проходить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пределах одной ста</w:t>
      </w:r>
      <w:r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ции.</w:t>
      </w:r>
    </w:p>
    <w:p w:rsidR="00563987" w:rsidRPr="00B75D2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t>3. При учете необходимо иметь в виду суточные изменения активности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животных. Для жаб, чесночниц, тритонов и наземных лягушек учеты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следует проводить в темное время суток с фонарем, дневные виды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учитываются в светлое время.</w:t>
      </w:r>
    </w:p>
    <w:p w:rsidR="00563987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t>На каждый маршрут или его участок, проходящий по одной стации,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заполняется отдельная карточка маршрута.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1069"/>
        <w:gridCol w:w="974"/>
        <w:gridCol w:w="1442"/>
        <w:gridCol w:w="1191"/>
        <w:gridCol w:w="562"/>
        <w:gridCol w:w="839"/>
        <w:gridCol w:w="1496"/>
        <w:gridCol w:w="936"/>
      </w:tblGrid>
      <w:tr w:rsidR="00563987" w:rsidTr="00F96BC1">
        <w:tc>
          <w:tcPr>
            <w:tcW w:w="9571" w:type="dxa"/>
            <w:gridSpan w:val="9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56D5A">
              <w:rPr>
                <w:rFonts w:ascii="Times New Roman" w:eastAsia="TimesNewRomanPSMT" w:hAnsi="Times New Roman" w:cs="Times New Roman"/>
                <w:sz w:val="24"/>
                <w:szCs w:val="24"/>
              </w:rPr>
              <w:t>Карточка учета амфибий на  маршруте</w:t>
            </w:r>
          </w:p>
        </w:tc>
      </w:tr>
      <w:tr w:rsidR="00563987" w:rsidTr="00F96BC1">
        <w:tc>
          <w:tcPr>
            <w:tcW w:w="862" w:type="dxa"/>
            <w:vMerge w:val="restart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56D5A">
              <w:rPr>
                <w:rFonts w:ascii="Times New Roman" w:eastAsia="TimesNewRomanPSMT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83" w:type="dxa"/>
            <w:gridSpan w:val="2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56D5A">
              <w:rPr>
                <w:rFonts w:ascii="Times New Roman" w:eastAsia="TimesNewRomanPSMT" w:hAnsi="Times New Roman" w:cs="Times New Roman"/>
                <w:sz w:val="24"/>
                <w:szCs w:val="24"/>
              </w:rPr>
              <w:t>Время учета</w:t>
            </w:r>
          </w:p>
        </w:tc>
        <w:tc>
          <w:tcPr>
            <w:tcW w:w="1470" w:type="dxa"/>
            <w:vMerge w:val="restart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56D5A">
              <w:rPr>
                <w:rFonts w:ascii="Times New Roman" w:eastAsia="TimesNewRomanPSMT" w:hAnsi="Times New Roman" w:cs="Times New Roman"/>
                <w:sz w:val="24"/>
                <w:szCs w:val="24"/>
              </w:rPr>
              <w:t>Длина маршрута, км</w:t>
            </w:r>
          </w:p>
        </w:tc>
        <w:tc>
          <w:tcPr>
            <w:tcW w:w="1213" w:type="dxa"/>
            <w:vMerge w:val="restart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56D5A">
              <w:rPr>
                <w:rFonts w:ascii="Times New Roman" w:eastAsia="TimesNewRomanPSMT" w:hAnsi="Times New Roman" w:cs="Times New Roman"/>
                <w:sz w:val="24"/>
                <w:szCs w:val="24"/>
              </w:rPr>
              <w:t>Ширина учетной полосы, м</w:t>
            </w:r>
          </w:p>
        </w:tc>
        <w:tc>
          <w:tcPr>
            <w:tcW w:w="3943" w:type="dxa"/>
            <w:gridSpan w:val="4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56D5A">
              <w:rPr>
                <w:rFonts w:ascii="Times New Roman" w:eastAsia="TimesNewRomanPSMT" w:hAnsi="Times New Roman" w:cs="Times New Roman"/>
                <w:sz w:val="24"/>
                <w:szCs w:val="24"/>
              </w:rPr>
              <w:t>Погода</w:t>
            </w:r>
          </w:p>
        </w:tc>
      </w:tr>
      <w:tr w:rsidR="00563987" w:rsidTr="00F96BC1">
        <w:tc>
          <w:tcPr>
            <w:tcW w:w="862" w:type="dxa"/>
            <w:vMerge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56D5A">
              <w:rPr>
                <w:rFonts w:ascii="Times New Roman" w:eastAsia="TimesNewRomanPSMT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995" w:type="dxa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56D5A">
              <w:rPr>
                <w:rFonts w:ascii="Times New Roman" w:eastAsia="TimesNewRomanPSMT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1470" w:type="dxa"/>
            <w:vMerge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56D5A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t </w:t>
            </w:r>
            <w:r w:rsidRPr="00B56D5A">
              <w:rPr>
                <w:rFonts w:ascii="Times New Roman" w:eastAsia="TimesNewRomanPSMT" w:hAnsi="Times New Roman" w:cs="Times New Roman"/>
                <w:sz w:val="24"/>
                <w:szCs w:val="24"/>
              </w:rPr>
              <w:t>ͦ ,   ͦ С</w:t>
            </w:r>
          </w:p>
        </w:tc>
        <w:tc>
          <w:tcPr>
            <w:tcW w:w="864" w:type="dxa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56D5A">
              <w:rPr>
                <w:rFonts w:ascii="Times New Roman" w:eastAsia="TimesNewRomanPSMT" w:hAnsi="Times New Roman" w:cs="Times New Roman"/>
                <w:sz w:val="24"/>
                <w:szCs w:val="24"/>
              </w:rPr>
              <w:t>Свет</w:t>
            </w:r>
          </w:p>
        </w:tc>
        <w:tc>
          <w:tcPr>
            <w:tcW w:w="1525" w:type="dxa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56D5A">
              <w:rPr>
                <w:rFonts w:ascii="Times New Roman" w:eastAsia="TimesNewRomanPSMT" w:hAnsi="Times New Roman" w:cs="Times New Roman"/>
                <w:sz w:val="24"/>
                <w:szCs w:val="24"/>
              </w:rPr>
              <w:t>Влажность</w:t>
            </w:r>
          </w:p>
        </w:tc>
        <w:tc>
          <w:tcPr>
            <w:tcW w:w="958" w:type="dxa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56D5A">
              <w:rPr>
                <w:rFonts w:ascii="Times New Roman" w:eastAsia="TimesNewRomanPSMT" w:hAnsi="Times New Roman" w:cs="Times New Roman"/>
                <w:sz w:val="24"/>
                <w:szCs w:val="24"/>
              </w:rPr>
              <w:t>Ветер</w:t>
            </w:r>
          </w:p>
        </w:tc>
      </w:tr>
      <w:tr w:rsidR="00563987" w:rsidTr="00F96BC1">
        <w:tc>
          <w:tcPr>
            <w:tcW w:w="862" w:type="dxa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63987" w:rsidTr="00F96BC1">
        <w:tc>
          <w:tcPr>
            <w:tcW w:w="2945" w:type="dxa"/>
            <w:gridSpan w:val="3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56D5A">
              <w:rPr>
                <w:rFonts w:ascii="Times New Roman" w:eastAsia="TimesNewRomanPSMT" w:hAnsi="Times New Roman" w:cs="Times New Roman"/>
                <w:sz w:val="24"/>
                <w:szCs w:val="24"/>
              </w:rPr>
              <w:t>Место учета (административный район, ближайшие населенные пункты)</w:t>
            </w:r>
          </w:p>
        </w:tc>
        <w:tc>
          <w:tcPr>
            <w:tcW w:w="6626" w:type="dxa"/>
            <w:gridSpan w:val="6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63987" w:rsidTr="00F96BC1">
        <w:tc>
          <w:tcPr>
            <w:tcW w:w="2945" w:type="dxa"/>
            <w:gridSpan w:val="3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56D5A">
              <w:rPr>
                <w:rFonts w:ascii="Times New Roman" w:eastAsia="TimesNewRomanPSMT" w:hAnsi="Times New Roman" w:cs="Times New Roman"/>
                <w:sz w:val="24"/>
                <w:szCs w:val="24"/>
              </w:rPr>
              <w:t>Стация</w:t>
            </w:r>
          </w:p>
        </w:tc>
        <w:tc>
          <w:tcPr>
            <w:tcW w:w="6626" w:type="dxa"/>
            <w:gridSpan w:val="6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63987" w:rsidTr="00F96BC1">
        <w:tc>
          <w:tcPr>
            <w:tcW w:w="2945" w:type="dxa"/>
            <w:gridSpan w:val="3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56D5A">
              <w:rPr>
                <w:rFonts w:ascii="Times New Roman" w:eastAsia="TimesNewRomanPSMT" w:hAnsi="Times New Roman" w:cs="Times New Roman"/>
                <w:sz w:val="24"/>
                <w:szCs w:val="24"/>
              </w:rPr>
              <w:t>Дополнения</w:t>
            </w:r>
          </w:p>
        </w:tc>
        <w:tc>
          <w:tcPr>
            <w:tcW w:w="6626" w:type="dxa"/>
            <w:gridSpan w:val="6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63987" w:rsidTr="00F96BC1">
        <w:tc>
          <w:tcPr>
            <w:tcW w:w="2945" w:type="dxa"/>
            <w:gridSpan w:val="3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56D5A">
              <w:rPr>
                <w:rFonts w:ascii="Times New Roman" w:eastAsia="TimesNewRomanPSMT" w:hAnsi="Times New Roman" w:cs="Times New Roman"/>
                <w:sz w:val="24"/>
                <w:szCs w:val="24"/>
              </w:rPr>
              <w:t>ФИО наблюдателя, адрес, теле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ф</w:t>
            </w:r>
            <w:r w:rsidRPr="00B56D5A">
              <w:rPr>
                <w:rFonts w:ascii="Times New Roman" w:eastAsia="TimesNewRomanPSMT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6626" w:type="dxa"/>
            <w:gridSpan w:val="6"/>
          </w:tcPr>
          <w:p w:rsidR="00563987" w:rsidRPr="00B56D5A" w:rsidRDefault="00563987" w:rsidP="00F96B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563987" w:rsidRPr="00B75D2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63987" w:rsidRPr="00B75D2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t>Маршруты по берегам водоемов и по дорогам имеют свою специфику.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Некоторые виды земноводных (жерлянка, прудовая и озерная лягушки) все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теплое время года живут на мелководных участках водоемов. Для их учета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маршрут закладывается по береговой линии водоема. В учетной карточке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следует отдельно отмечать:</w:t>
      </w:r>
    </w:p>
    <w:p w:rsidR="00563987" w:rsidRPr="00B75D2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lastRenderedPageBreak/>
        <w:t>1) ширину полосы на берегу, в которой учитываются все виды;</w:t>
      </w:r>
    </w:p>
    <w:p w:rsidR="00563987" w:rsidRPr="00B75D2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t>2) ширину полосы мелководья, на которой встречаются земноводные;</w:t>
      </w:r>
    </w:p>
    <w:p w:rsidR="00563987" w:rsidRPr="00B75D2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t>3) ширину учетной полосы водного зеркала.</w:t>
      </w:r>
    </w:p>
    <w:p w:rsidR="00563987" w:rsidRPr="00B75D2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t>Это необходимо, поскольку при большой ширине мелководья трудно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определить вид и сосчитать количество животных, сидящих на расстоянии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нескольких метров от берега.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Дороги и тропы амфибии используют в темное время суток. Поэтому, если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маршрут проходит по дороге, независимо от того, какие стации она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пересекает, учет численности может дать завышенный результат. Для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получения достоверных данных часть маршрутов желательно закладывать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не по дорогам. Но дорожные маршруты тоже необходимы, так как они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повышают вероятность обнаружить малочисленные и редкие виды. Кроме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того, интересно сравнить результаты учетов, полученные в одних и тех же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стациях на маршрутах, заложенных как по дорогам, так и вне их.</w:t>
      </w:r>
    </w:p>
    <w:p w:rsidR="00563987" w:rsidRPr="00B75D2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t>Учет на одном и том же маршруте для получения более точных данных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можно проводить многократно.</w:t>
      </w:r>
    </w:p>
    <w:p w:rsidR="00563987" w:rsidRPr="00213DB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</w:pPr>
      <w:r w:rsidRPr="00213DBD"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  <w:t>Учеты гибели амфибий на дорогах</w:t>
      </w:r>
    </w:p>
    <w:p w:rsidR="00563987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t>Этот учет желательно совместить с маршрутными учетами 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численности по дорогам. Участок дороги ежедневно проходят с подсчетом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всех погибших животных, которых после определения и подсчета надо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убирать с дороги. Следует иметь в виду, что на песчаных грунтовых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дорогах, особенно с глубокой колеей, животные могут гибнуть не только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под колесами, но и от перегрева, не успевая уползти в тень (животные,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 xml:space="preserve">погибшие от перегрева, не раздавлены). </w:t>
      </w:r>
    </w:p>
    <w:p w:rsidR="00563987" w:rsidRPr="00B75D2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t>Оформляют карточку учета гибели животных на дорогах, к которой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прикладывают результаты учета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Так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же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 xml:space="preserve"> желательно</w:t>
      </w:r>
      <w:proofErr w:type="gramEnd"/>
      <w:r w:rsidRPr="00B75D2D">
        <w:rPr>
          <w:rFonts w:ascii="Times New Roman" w:eastAsia="TimesNewRomanPSMT" w:hAnsi="Times New Roman" w:cs="Times New Roman"/>
          <w:sz w:val="28"/>
          <w:szCs w:val="28"/>
        </w:rPr>
        <w:t xml:space="preserve"> указывать причину гибели животного.</w:t>
      </w:r>
    </w:p>
    <w:p w:rsidR="00563987" w:rsidRPr="00213DB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</w:pPr>
      <w:r w:rsidRPr="00213DBD"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  <w:t>Стационарные методы учета</w:t>
      </w:r>
    </w:p>
    <w:p w:rsidR="00563987" w:rsidRPr="00213DB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213DBD">
        <w:rPr>
          <w:rFonts w:ascii="Times New Roman" w:eastAsia="TimesNewRomanPSMT" w:hAnsi="Times New Roman" w:cs="Times New Roman"/>
          <w:bCs/>
          <w:i/>
          <w:sz w:val="28"/>
          <w:szCs w:val="28"/>
        </w:rPr>
        <w:t>Учеты с помощью ловчих траншей или заборчиков</w:t>
      </w:r>
    </w:p>
    <w:p w:rsidR="00563987" w:rsidRPr="00B75D2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t>Маршрутный метод учета менее пригоден для скрытно живущих видов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чесночницы). Для их учета могут применяться ловчие траншеи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(заборчики)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длиной 15 - 50 м и глубиной (высотой) 15 -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 xml:space="preserve"> 20 см. На дне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траншей вкапываются ловчие металлические цилиндры (ведра), где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скапливаются пойманные животные. Этот метод весьма эффективен при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 xml:space="preserve">длительных стационарных исследованиях, </w:t>
      </w:r>
      <w:proofErr w:type="gramStart"/>
      <w:r w:rsidRPr="00B75D2D">
        <w:rPr>
          <w:rFonts w:ascii="Times New Roman" w:eastAsia="TimesNewRomanPSMT" w:hAnsi="Times New Roman" w:cs="Times New Roman"/>
          <w:sz w:val="28"/>
          <w:szCs w:val="28"/>
        </w:rPr>
        <w:t>например</w:t>
      </w:r>
      <w:proofErr w:type="gramEnd"/>
      <w:r w:rsidRPr="00B75D2D">
        <w:rPr>
          <w:rFonts w:ascii="Times New Roman" w:eastAsia="TimesNewRomanPSMT" w:hAnsi="Times New Roman" w:cs="Times New Roman"/>
          <w:sz w:val="28"/>
          <w:szCs w:val="28"/>
        </w:rPr>
        <w:t xml:space="preserve"> в условиях любого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лагеря. Однако он весьма трудоемок и не рекомендуется при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краткосрочных исследованиях.</w:t>
      </w:r>
    </w:p>
    <w:p w:rsidR="00563987" w:rsidRPr="00213DB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213DBD">
        <w:rPr>
          <w:rFonts w:ascii="Times New Roman" w:eastAsia="TimesNewRomanPSMT" w:hAnsi="Times New Roman" w:cs="Times New Roman"/>
          <w:bCs/>
          <w:i/>
          <w:sz w:val="28"/>
          <w:szCs w:val="28"/>
        </w:rPr>
        <w:t>Учеты на пробных площадках</w:t>
      </w:r>
    </w:p>
    <w:p w:rsidR="00563987" w:rsidRPr="00B75D2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t>Земноводных можно также учитывать на пробных площадках (из-за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невысокой плотности населения рептилий их этим методом учитывать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менее целесообразно). Метод пробных площадок используют, если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работе участвуют много (5 и более) учетчиков в местах с высокой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плотностью амфибий. Площадь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от 100 м</w:t>
      </w:r>
      <w:r w:rsidRPr="00D0333D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 xml:space="preserve"> (10×10 м) в стациях с высокой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травой до 2500 м</w:t>
      </w:r>
      <w:r w:rsidRPr="00D0333D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 xml:space="preserve"> (50×50 м) в хорошо просматриваемых стациях.</w:t>
      </w:r>
    </w:p>
    <w:p w:rsidR="00563987" w:rsidRPr="00B75D2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t>Площадка не обязательно должна быть квадратной, она может быть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прямоугольной. Ее углы маркируют (колышками, флажками и т.д.),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границы могут быть обозначены натянутыми веревками или вбитыми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колышками. Маркировку границ желательно проводить не менее чем за 6 -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8 часов до начала учета.</w:t>
      </w:r>
    </w:p>
    <w:p w:rsidR="00563987" w:rsidRPr="00B75D2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t>Группа учетчиков выстраивается в цепь вдоль одной из сторон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площадки так, чтобы между соседними учетчиками не оставалось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75D2D">
        <w:rPr>
          <w:rFonts w:ascii="Times New Roman" w:eastAsia="TimesNewRomanPSMT" w:hAnsi="Times New Roman" w:cs="Times New Roman"/>
          <w:sz w:val="28"/>
          <w:szCs w:val="28"/>
        </w:rPr>
        <w:t>непросматриваемой</w:t>
      </w:r>
      <w:proofErr w:type="spellEnd"/>
      <w:r w:rsidRPr="00B75D2D">
        <w:rPr>
          <w:rFonts w:ascii="Times New Roman" w:eastAsia="TimesNewRomanPSMT" w:hAnsi="Times New Roman" w:cs="Times New Roman"/>
          <w:sz w:val="28"/>
          <w:szCs w:val="28"/>
        </w:rPr>
        <w:t xml:space="preserve"> территории. Медленно двигаясь к противоположной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стороне, группа собирает всех встреченных амфибий. Особенно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внимательно осматриваются возможные убежища. При этом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переворачиваемые куски коры, небольшие бревнышки и тому подобное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после осмотра возвращаются в исходное положение. После определения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вида и измерения всех амфиби</w:t>
      </w:r>
      <w:r>
        <w:rPr>
          <w:rFonts w:ascii="Times New Roman" w:eastAsia="TimesNewRomanPSMT" w:hAnsi="Times New Roman" w:cs="Times New Roman"/>
          <w:sz w:val="28"/>
          <w:szCs w:val="28"/>
        </w:rPr>
        <w:t>й следует выпустить на площадку.</w:t>
      </w:r>
    </w:p>
    <w:p w:rsidR="00563987" w:rsidRPr="00B75D2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t>Для получения более точных данных учет на одной площадке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желательно повторить 2 -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 xml:space="preserve"> 4 раза с интервалами в несколько дней.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К карточке учетной площадки необходимо приложить данные 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встреченных на площадке животных.</w:t>
      </w:r>
    </w:p>
    <w:p w:rsidR="00563987" w:rsidRPr="00B56D5A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B56D5A">
        <w:rPr>
          <w:rFonts w:ascii="Times New Roman" w:eastAsia="TimesNewRomanPSMT" w:hAnsi="Times New Roman" w:cs="Times New Roman"/>
          <w:bCs/>
          <w:i/>
          <w:sz w:val="28"/>
          <w:szCs w:val="28"/>
        </w:rPr>
        <w:t>Особенности проведения учетов земноводных в период</w:t>
      </w:r>
    </w:p>
    <w:p w:rsidR="00563987" w:rsidRPr="00B56D5A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i/>
          <w:sz w:val="28"/>
          <w:szCs w:val="28"/>
        </w:rPr>
      </w:pPr>
      <w:r w:rsidRPr="00B56D5A">
        <w:rPr>
          <w:rFonts w:ascii="Times New Roman" w:eastAsia="TimesNewRomanPSMT" w:hAnsi="Times New Roman" w:cs="Times New Roman"/>
          <w:bCs/>
          <w:i/>
          <w:sz w:val="28"/>
          <w:szCs w:val="28"/>
        </w:rPr>
        <w:lastRenderedPageBreak/>
        <w:t>их размножения</w:t>
      </w:r>
    </w:p>
    <w:p w:rsidR="00563987" w:rsidRPr="002349BC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t>Все амфибии размножаются в водоемах, разные виды - в разное время.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Сезон размножения начинается во время освобождения водоемов ото льда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и заканчивается в разгар лета. Поэтому учеты численности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размножающихся амфибий следует проводить на одних и тех же водоемах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неоднократно (желательно с интервалами в 2 - 5 дней).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В зависимости от размера и типа на небольших мелководных водоемах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производится полный пересчет всех размножающихся животных и по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возможности кладок. На мелководных водоемах с большой площадью,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используемой амфибиями, учет ведется на пробных площадках, данные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которых впоследствии пересчитываются на всю площадь водоема.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крупных глубоких водоемах, где земноводными используется узкая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прибрежная полоса, закладывается маршрут по береговой линии. При этом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считывается число размножающихся животных, приходящихся на единицу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длины береговой линии</w:t>
      </w:r>
      <w:r w:rsidR="005367D2">
        <w:rPr>
          <w:rFonts w:ascii="Times New Roman" w:eastAsia="TimesNewRomanPSMT" w:hAnsi="Times New Roman" w:cs="Times New Roman"/>
          <w:sz w:val="28"/>
          <w:szCs w:val="28"/>
        </w:rPr>
        <w:t xml:space="preserve"> [4</w:t>
      </w:r>
      <w:r w:rsidRPr="002349BC">
        <w:rPr>
          <w:rFonts w:ascii="Times New Roman" w:eastAsia="TimesNewRomanPSMT" w:hAnsi="Times New Roman" w:cs="Times New Roman"/>
          <w:sz w:val="28"/>
          <w:szCs w:val="28"/>
        </w:rPr>
        <w:t>]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63987" w:rsidRPr="00B75D2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t>Амфибии в момент появления наблюдателя пугаются, замолкают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ныряют. Поэтому для определения точного их числа надо постоять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неподвижно на берегу водоема несколько минут, после чего пересчитать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животных на просматриваемом участке. Размер пробной площадки может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составлять десятки (без применения оптики) и сотни (при использовании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бинокля) квадратных метров. Хвостатых земноводных, которые не издают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звуков и могут довольно долго не появляться на поверхности воды, учесть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значительно труднее. В мелководных водоемах с прозрачной водой 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можно пересчитать, внимательно просматривая толщу воды и поверхность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дна.</w:t>
      </w:r>
    </w:p>
    <w:p w:rsidR="00563987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t>К карточке учета необходимо приложить данные о встреченных во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время учета размножающихся амфибиях по следующей форме</w:t>
      </w:r>
      <w:r>
        <w:rPr>
          <w:rFonts w:ascii="Times New Roman" w:eastAsia="TimesNewRomanPSMT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9"/>
        <w:gridCol w:w="2784"/>
        <w:gridCol w:w="1860"/>
        <w:gridCol w:w="1859"/>
        <w:gridCol w:w="1903"/>
      </w:tblGrid>
      <w:tr w:rsidR="00563987" w:rsidTr="00F96BC1">
        <w:tc>
          <w:tcPr>
            <w:tcW w:w="959" w:type="dxa"/>
            <w:vMerge w:val="restart"/>
          </w:tcPr>
          <w:p w:rsidR="00563987" w:rsidRDefault="00563987" w:rsidP="00F9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9" w:type="dxa"/>
            <w:vMerge w:val="restart"/>
          </w:tcPr>
          <w:p w:rsidR="00563987" w:rsidRDefault="00563987" w:rsidP="00F9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828" w:type="dxa"/>
            <w:gridSpan w:val="2"/>
          </w:tcPr>
          <w:p w:rsidR="00563987" w:rsidRDefault="00563987" w:rsidP="00F9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Число особей</w:t>
            </w:r>
          </w:p>
        </w:tc>
        <w:tc>
          <w:tcPr>
            <w:tcW w:w="1915" w:type="dxa"/>
            <w:vMerge w:val="restart"/>
          </w:tcPr>
          <w:p w:rsidR="00563987" w:rsidRDefault="00563987" w:rsidP="00F9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63987" w:rsidTr="00F96BC1">
        <w:tc>
          <w:tcPr>
            <w:tcW w:w="959" w:type="dxa"/>
            <w:vMerge/>
          </w:tcPr>
          <w:p w:rsidR="00563987" w:rsidRDefault="00563987" w:rsidP="00F9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563987" w:rsidRDefault="00563987" w:rsidP="00F9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63987" w:rsidRDefault="00563987" w:rsidP="00F9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самец</w:t>
            </w:r>
          </w:p>
        </w:tc>
        <w:tc>
          <w:tcPr>
            <w:tcW w:w="1914" w:type="dxa"/>
          </w:tcPr>
          <w:p w:rsidR="00563987" w:rsidRDefault="00563987" w:rsidP="00F9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самка</w:t>
            </w:r>
          </w:p>
        </w:tc>
        <w:tc>
          <w:tcPr>
            <w:tcW w:w="1915" w:type="dxa"/>
            <w:vMerge/>
          </w:tcPr>
          <w:p w:rsidR="00563987" w:rsidRDefault="00563987" w:rsidP="00F9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563987" w:rsidTr="00F96BC1">
        <w:tc>
          <w:tcPr>
            <w:tcW w:w="959" w:type="dxa"/>
          </w:tcPr>
          <w:p w:rsidR="00563987" w:rsidRDefault="00563987" w:rsidP="00F96B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563987" w:rsidRDefault="00563987" w:rsidP="00F96B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Травяная лягушка</w:t>
            </w:r>
          </w:p>
        </w:tc>
        <w:tc>
          <w:tcPr>
            <w:tcW w:w="1914" w:type="dxa"/>
          </w:tcPr>
          <w:p w:rsidR="00563987" w:rsidRDefault="00563987" w:rsidP="00F96B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563987" w:rsidRDefault="00563987" w:rsidP="00F96B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563987" w:rsidRDefault="00563987" w:rsidP="00F96B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563987" w:rsidRPr="00B75D2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63987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t>При учетах по возможности следует считать количество вновь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появившихся кла</w:t>
      </w:r>
      <w:r>
        <w:rPr>
          <w:rFonts w:ascii="Times New Roman" w:eastAsia="TimesNewRomanPSMT" w:hAnsi="Times New Roman" w:cs="Times New Roman"/>
          <w:sz w:val="28"/>
          <w:szCs w:val="28"/>
        </w:rPr>
        <w:t>док после предыдущего просмотра.</w:t>
      </w:r>
    </w:p>
    <w:p w:rsidR="00563987" w:rsidRPr="00BF73EB" w:rsidRDefault="00563987" w:rsidP="005639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3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</w:t>
      </w:r>
      <w:proofErr w:type="gramStart"/>
      <w:r w:rsidRPr="00BF73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2.Э</w:t>
      </w:r>
      <w:r w:rsidRPr="00BF73EB">
        <w:rPr>
          <w:rFonts w:ascii="Times New Roman" w:hAnsi="Times New Roman" w:cs="Times New Roman"/>
          <w:b/>
          <w:sz w:val="28"/>
          <w:szCs w:val="28"/>
        </w:rPr>
        <w:t>кологический</w:t>
      </w:r>
      <w:proofErr w:type="gramEnd"/>
      <w:r w:rsidRPr="00BF73EB">
        <w:rPr>
          <w:rFonts w:ascii="Times New Roman" w:hAnsi="Times New Roman" w:cs="Times New Roman"/>
          <w:b/>
          <w:sz w:val="28"/>
          <w:szCs w:val="28"/>
        </w:rPr>
        <w:t xml:space="preserve"> анализ популяции озерной лягушки </w:t>
      </w:r>
      <w:proofErr w:type="spellStart"/>
      <w:r w:rsidR="005367D2">
        <w:rPr>
          <w:rFonts w:ascii="Times New Roman" w:hAnsi="Times New Roman" w:cs="Times New Roman"/>
          <w:b/>
          <w:sz w:val="28"/>
          <w:szCs w:val="28"/>
        </w:rPr>
        <w:t>г.Волжский</w:t>
      </w:r>
      <w:proofErr w:type="spellEnd"/>
    </w:p>
    <w:p w:rsidR="00563987" w:rsidRDefault="00563987" w:rsidP="00563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представления общей картины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микропопуляции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лягушки 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 статистический анализ материала. В ходе анализа была составлена следующая таблица:</w:t>
      </w:r>
    </w:p>
    <w:p w:rsidR="00563987" w:rsidRDefault="00563987" w:rsidP="005639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63987" w:rsidRPr="004B20C4" w:rsidRDefault="00563987" w:rsidP="005639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Статистическая обработка материала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микропопуляции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озерной лягушки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6"/>
        <w:gridCol w:w="6"/>
        <w:gridCol w:w="1860"/>
        <w:gridCol w:w="1867"/>
        <w:gridCol w:w="6"/>
        <w:gridCol w:w="1860"/>
        <w:gridCol w:w="1870"/>
      </w:tblGrid>
      <w:tr w:rsidR="00563987" w:rsidRPr="004B20C4" w:rsidTr="00F96BC1">
        <w:tc>
          <w:tcPr>
            <w:tcW w:w="1914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14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  <w:gridSpan w:val="2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915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4B20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63987" w:rsidRPr="004B20C4" w:rsidTr="00F96BC1">
        <w:tc>
          <w:tcPr>
            <w:tcW w:w="1914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2,8-4,15</w:t>
            </w:r>
          </w:p>
        </w:tc>
        <w:tc>
          <w:tcPr>
            <w:tcW w:w="1914" w:type="dxa"/>
            <w:gridSpan w:val="2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914" w:type="dxa"/>
            <w:gridSpan w:val="2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1915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63987" w:rsidRPr="004B20C4" w:rsidTr="00F96BC1">
        <w:tc>
          <w:tcPr>
            <w:tcW w:w="1914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4.16-5,51</w:t>
            </w:r>
          </w:p>
        </w:tc>
        <w:tc>
          <w:tcPr>
            <w:tcW w:w="1914" w:type="dxa"/>
            <w:gridSpan w:val="2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914" w:type="dxa"/>
            <w:gridSpan w:val="2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915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63987" w:rsidRPr="004B20C4" w:rsidTr="00F96BC1">
        <w:tc>
          <w:tcPr>
            <w:tcW w:w="1914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5,52-6,87</w:t>
            </w:r>
          </w:p>
        </w:tc>
        <w:tc>
          <w:tcPr>
            <w:tcW w:w="1914" w:type="dxa"/>
            <w:gridSpan w:val="2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43" w:type="dxa"/>
            <w:gridSpan w:val="4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Условно средний класс, А=6,195</w:t>
            </w:r>
          </w:p>
        </w:tc>
      </w:tr>
      <w:tr w:rsidR="00563987" w:rsidRPr="004B20C4" w:rsidTr="00F96BC1">
        <w:tc>
          <w:tcPr>
            <w:tcW w:w="1914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6,88-8,23</w:t>
            </w:r>
          </w:p>
        </w:tc>
        <w:tc>
          <w:tcPr>
            <w:tcW w:w="1914" w:type="dxa"/>
            <w:gridSpan w:val="2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914" w:type="dxa"/>
            <w:gridSpan w:val="2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987" w:rsidRPr="004B20C4" w:rsidTr="00F96BC1">
        <w:tc>
          <w:tcPr>
            <w:tcW w:w="1914" w:type="dxa"/>
            <w:tcBorders>
              <w:righ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8,24-9,6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914" w:type="dxa"/>
            <w:gridSpan w:val="2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3987" w:rsidRPr="004B20C4" w:rsidTr="00F96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20" w:type="dxa"/>
            <w:gridSpan w:val="2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</w:p>
        </w:tc>
        <w:tc>
          <w:tcPr>
            <w:tcW w:w="1908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20" w:type="dxa"/>
            <w:gridSpan w:val="2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1915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563987" w:rsidRPr="004B20C4" w:rsidRDefault="00563987" w:rsidP="005639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0C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B20C4">
        <w:rPr>
          <w:rFonts w:ascii="Times New Roman" w:hAnsi="Times New Roman" w:cs="Times New Roman"/>
          <w:sz w:val="28"/>
          <w:szCs w:val="28"/>
        </w:rPr>
        <w:t>= 4,15-2,8=1,35</w:t>
      </w:r>
    </w:p>
    <w:p w:rsidR="00563987" w:rsidRPr="00E82AA7" w:rsidRDefault="00563987" w:rsidP="005639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AA7">
        <w:rPr>
          <w:rFonts w:ascii="Times New Roman" w:hAnsi="Times New Roman" w:cs="Times New Roman"/>
          <w:i/>
          <w:sz w:val="28"/>
          <w:szCs w:val="28"/>
        </w:rPr>
        <w:t>Вычисление средней величины признака:</w:t>
      </w:r>
    </w:p>
    <w:p w:rsidR="00563987" w:rsidRPr="004B20C4" w:rsidRDefault="00563987" w:rsidP="00563987">
      <w:pPr>
        <w:jc w:val="both"/>
        <w:rPr>
          <w:rFonts w:ascii="Times New Roman" w:hAnsi="Times New Roman" w:cs="Times New Roman"/>
          <w:sz w:val="28"/>
          <w:szCs w:val="28"/>
        </w:rPr>
      </w:pPr>
      <w:r w:rsidRPr="004B20C4">
        <w:rPr>
          <w:rFonts w:ascii="Times New Roman" w:hAnsi="Times New Roman" w:cs="Times New Roman"/>
          <w:sz w:val="28"/>
          <w:szCs w:val="28"/>
        </w:rPr>
        <w:t>М=6,195+(-18*1,35)/50=5,709</w:t>
      </w:r>
    </w:p>
    <w:p w:rsidR="00563987" w:rsidRPr="00E82AA7" w:rsidRDefault="00563987" w:rsidP="005639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AA7">
        <w:rPr>
          <w:rFonts w:ascii="Times New Roman" w:hAnsi="Times New Roman" w:cs="Times New Roman"/>
          <w:i/>
          <w:sz w:val="28"/>
          <w:szCs w:val="28"/>
        </w:rPr>
        <w:t>Среднее квадратное отклонение:</w:t>
      </w:r>
    </w:p>
    <w:p w:rsidR="00563987" w:rsidRPr="004B20C4" w:rsidRDefault="00563987" w:rsidP="005639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B20C4">
        <w:rPr>
          <w:rFonts w:ascii="Times New Roman" w:hAnsi="Times New Roman" w:cs="Times New Roman"/>
          <w:sz w:val="28"/>
          <w:szCs w:val="28"/>
        </w:rPr>
        <w:t xml:space="preserve">σ= 1,35*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66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50</m:t>
                </m:r>
              </m:den>
            </m:f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18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50</m:t>
                </m:r>
              </m:den>
            </m:f>
          </m:e>
        </m:rad>
        <m:r>
          <w:rPr>
            <w:rFonts w:ascii="Cambria Math" w:hAnsi="Times New Roman" w:cs="Times New Roman"/>
            <w:sz w:val="28"/>
            <w:szCs w:val="28"/>
          </w:rPr>
          <m:t>)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B20C4">
        <w:rPr>
          <w:rFonts w:ascii="Times New Roman" w:eastAsiaTheme="minorEastAsia" w:hAnsi="Times New Roman" w:cs="Times New Roman"/>
          <w:sz w:val="28"/>
          <w:szCs w:val="28"/>
        </w:rPr>
        <w:t>=1,485</w:t>
      </w:r>
    </w:p>
    <w:p w:rsidR="00563987" w:rsidRPr="00E82AA7" w:rsidRDefault="00563987" w:rsidP="00563987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82AA7">
        <w:rPr>
          <w:rFonts w:ascii="Times New Roman" w:eastAsiaTheme="minorEastAsia" w:hAnsi="Times New Roman" w:cs="Times New Roman"/>
          <w:i/>
          <w:sz w:val="28"/>
          <w:szCs w:val="28"/>
        </w:rPr>
        <w:t>Коэффициент вариации:</w:t>
      </w:r>
    </w:p>
    <w:p w:rsidR="00563987" w:rsidRPr="004B20C4" w:rsidRDefault="00563987" w:rsidP="005639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B20C4">
        <w:rPr>
          <w:rFonts w:ascii="Times New Roman" w:eastAsiaTheme="minorEastAsia" w:hAnsi="Times New Roman" w:cs="Times New Roman"/>
          <w:sz w:val="28"/>
          <w:szCs w:val="28"/>
          <w:lang w:val="en-US"/>
        </w:rPr>
        <w:t>CV</w:t>
      </w:r>
      <w:r w:rsidRPr="004B20C4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1,485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5,709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100%</m:t>
        </m:r>
      </m:oMath>
      <w:r w:rsidRPr="004B20C4">
        <w:rPr>
          <w:rFonts w:ascii="Times New Roman" w:eastAsiaTheme="minorEastAsia" w:hAnsi="Times New Roman" w:cs="Times New Roman"/>
          <w:sz w:val="28"/>
          <w:szCs w:val="28"/>
        </w:rPr>
        <w:t>=26%</w:t>
      </w:r>
    </w:p>
    <w:p w:rsidR="00563987" w:rsidRPr="00E82AA7" w:rsidRDefault="00563987" w:rsidP="00563987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82AA7">
        <w:rPr>
          <w:rFonts w:ascii="Times New Roman" w:eastAsiaTheme="minorEastAsia" w:hAnsi="Times New Roman" w:cs="Times New Roman"/>
          <w:i/>
          <w:sz w:val="28"/>
          <w:szCs w:val="28"/>
        </w:rPr>
        <w:t>Репрезентативность выборочных показателей. Вычисление статистических ошибок и достоверности:</w:t>
      </w:r>
    </w:p>
    <w:p w:rsidR="00563987" w:rsidRPr="004B20C4" w:rsidRDefault="00563987" w:rsidP="005639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4B20C4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4B20C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4B20C4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1,485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49</m:t>
                </m:r>
              </m:e>
            </m:rad>
          </m:den>
        </m:f>
      </m:oMath>
      <w:r w:rsidRPr="004B20C4">
        <w:rPr>
          <w:rFonts w:ascii="Times New Roman" w:eastAsiaTheme="minorEastAsia" w:hAnsi="Times New Roman" w:cs="Times New Roman"/>
          <w:sz w:val="28"/>
          <w:szCs w:val="28"/>
        </w:rPr>
        <w:t xml:space="preserve"> = 0,2</w:t>
      </w:r>
    </w:p>
    <w:p w:rsidR="00563987" w:rsidRPr="004B20C4" w:rsidRDefault="00563987" w:rsidP="005639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B20C4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m</w:t>
      </w:r>
      <w:r w:rsidRPr="004B20C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</w:t>
      </w:r>
      <w:r w:rsidRPr="004B20C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</w:t>
      </w:r>
      <w:r w:rsidRPr="004B20C4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26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100</m:t>
                </m:r>
              </m:e>
            </m:rad>
          </m:den>
        </m:f>
      </m:oMath>
      <w:r w:rsidRPr="004B20C4">
        <w:rPr>
          <w:rFonts w:ascii="Times New Roman" w:eastAsiaTheme="minorEastAsia" w:hAnsi="Times New Roman" w:cs="Times New Roman"/>
          <w:sz w:val="28"/>
          <w:szCs w:val="28"/>
        </w:rPr>
        <w:t xml:space="preserve"> = 2,6</w:t>
      </w:r>
    </w:p>
    <w:p w:rsidR="00563987" w:rsidRPr="004B20C4" w:rsidRDefault="00563987" w:rsidP="005639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 ±</w:t>
      </w:r>
      <w:r w:rsidRPr="004106E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4106E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4B20C4">
        <w:rPr>
          <w:rFonts w:ascii="Times New Roman" w:eastAsiaTheme="minorEastAsia" w:hAnsi="Times New Roman" w:cs="Times New Roman"/>
          <w:sz w:val="28"/>
          <w:szCs w:val="28"/>
        </w:rPr>
        <w:t>5,709 ± 0,2</w:t>
      </w:r>
    </w:p>
    <w:p w:rsidR="00563987" w:rsidRPr="004B20C4" w:rsidRDefault="00563987" w:rsidP="005639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CV</w:t>
      </w:r>
      <w:r w:rsidRPr="00651878">
        <w:rPr>
          <w:rFonts w:ascii="Times New Roman" w:eastAsiaTheme="minorEastAsia" w:hAnsi="Times New Roman" w:cs="Times New Roman"/>
          <w:sz w:val="28"/>
          <w:szCs w:val="28"/>
        </w:rPr>
        <w:t xml:space="preserve"> ±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4B20C4">
        <w:rPr>
          <w:rFonts w:ascii="Times New Roman" w:eastAsiaTheme="minorEastAsia" w:hAnsi="Times New Roman" w:cs="Times New Roman"/>
          <w:sz w:val="28"/>
          <w:szCs w:val="28"/>
        </w:rPr>
        <w:t>26 ± 2,6</w:t>
      </w:r>
    </w:p>
    <w:p w:rsidR="00563987" w:rsidRDefault="00563987" w:rsidP="00563987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B20C4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6486BC" wp14:editId="0691877C">
            <wp:extent cx="4754880" cy="2324100"/>
            <wp:effectExtent l="19050" t="0" r="2667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3987" w:rsidRPr="00651878" w:rsidRDefault="00563987" w:rsidP="005639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Рис.1. Соотношение полов</w:t>
      </w:r>
    </w:p>
    <w:p w:rsidR="00563987" w:rsidRDefault="00563987" w:rsidP="005639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0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074178" wp14:editId="69674C84">
            <wp:extent cx="4754880" cy="2457450"/>
            <wp:effectExtent l="19050" t="0" r="2667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3987" w:rsidRPr="00651878" w:rsidRDefault="00563987" w:rsidP="00563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Рис.2. Наличие полосы</w:t>
      </w:r>
    </w:p>
    <w:p w:rsidR="00563987" w:rsidRDefault="00563987" w:rsidP="00563987">
      <w:pPr>
        <w:jc w:val="right"/>
        <w:rPr>
          <w:rFonts w:ascii="Times New Roman" w:hAnsi="Times New Roman" w:cs="Times New Roman"/>
          <w:sz w:val="28"/>
          <w:szCs w:val="28"/>
        </w:rPr>
      </w:pPr>
      <w:r w:rsidRPr="00651878">
        <w:rPr>
          <w:rFonts w:ascii="Times New Roman" w:hAnsi="Times New Roman" w:cs="Times New Roman"/>
          <w:sz w:val="28"/>
          <w:szCs w:val="28"/>
        </w:rPr>
        <w:t>Таблица 2</w:t>
      </w:r>
    </w:p>
    <w:p w:rsidR="00563987" w:rsidRPr="004B20C4" w:rsidRDefault="00563987" w:rsidP="00563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Частота встречаемости различных вариаций окраски кожных покровов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микропопуляции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озерной лягушки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37"/>
        <w:gridCol w:w="2097"/>
        <w:gridCol w:w="2611"/>
      </w:tblGrid>
      <w:tr w:rsidR="00563987" w:rsidRPr="004B20C4" w:rsidTr="00F96BC1">
        <w:tc>
          <w:tcPr>
            <w:tcW w:w="4785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окраска</w:t>
            </w:r>
          </w:p>
        </w:tc>
        <w:tc>
          <w:tcPr>
            <w:tcW w:w="2148" w:type="dxa"/>
            <w:tcBorders>
              <w:righ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№ особей</w:t>
            </w:r>
          </w:p>
        </w:tc>
        <w:tc>
          <w:tcPr>
            <w:tcW w:w="2638" w:type="dxa"/>
            <w:tcBorders>
              <w:lef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Встречаемость, %</w:t>
            </w:r>
          </w:p>
        </w:tc>
      </w:tr>
      <w:tr w:rsidR="00563987" w:rsidRPr="004B20C4" w:rsidTr="00F96BC1">
        <w:tc>
          <w:tcPr>
            <w:tcW w:w="4785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38" w:type="dxa"/>
            <w:tcBorders>
              <w:lef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63987" w:rsidRPr="004B20C4" w:rsidTr="00F96BC1">
        <w:tc>
          <w:tcPr>
            <w:tcW w:w="4785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Св.-зеленый</w:t>
            </w:r>
          </w:p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638" w:type="dxa"/>
            <w:tcBorders>
              <w:lef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987" w:rsidRPr="004B20C4" w:rsidTr="00F96BC1">
        <w:tc>
          <w:tcPr>
            <w:tcW w:w="4785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Тем.-</w:t>
            </w:r>
            <w:proofErr w:type="gramEnd"/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38" w:type="dxa"/>
            <w:tcBorders>
              <w:lef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63987" w:rsidRPr="004B20C4" w:rsidTr="00F96BC1">
        <w:trPr>
          <w:trHeight w:val="475"/>
        </w:trPr>
        <w:tc>
          <w:tcPr>
            <w:tcW w:w="4785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Оливковый</w:t>
            </w:r>
          </w:p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8" w:type="dxa"/>
            <w:tcBorders>
              <w:lef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987" w:rsidRPr="004B20C4" w:rsidTr="00F96BC1">
        <w:trPr>
          <w:trHeight w:val="58"/>
        </w:trPr>
        <w:tc>
          <w:tcPr>
            <w:tcW w:w="4785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Серо-оливковый</w:t>
            </w:r>
          </w:p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righ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8" w:type="dxa"/>
            <w:tcBorders>
              <w:lef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63987" w:rsidRDefault="00563987" w:rsidP="005639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987" w:rsidRDefault="005367D2" w:rsidP="005639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о.Безымянное</w:t>
      </w:r>
      <w:proofErr w:type="spellEnd"/>
    </w:p>
    <w:p w:rsidR="00563987" w:rsidRDefault="00563987" w:rsidP="005639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563987" w:rsidRPr="004B20C4" w:rsidRDefault="00563987" w:rsidP="005639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Статистическая обработка материала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микропопуляции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озерной лягушки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6"/>
        <w:gridCol w:w="6"/>
        <w:gridCol w:w="1860"/>
        <w:gridCol w:w="1866"/>
        <w:gridCol w:w="6"/>
        <w:gridCol w:w="1860"/>
        <w:gridCol w:w="1871"/>
      </w:tblGrid>
      <w:tr w:rsidR="00563987" w:rsidRPr="004B20C4" w:rsidTr="00F96BC1">
        <w:tc>
          <w:tcPr>
            <w:tcW w:w="1914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14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4" w:type="dxa"/>
            <w:gridSpan w:val="2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915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4B20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563987" w:rsidRPr="004B20C4" w:rsidTr="00F96BC1">
        <w:tc>
          <w:tcPr>
            <w:tcW w:w="1914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2,8-4,15</w:t>
            </w:r>
          </w:p>
        </w:tc>
        <w:tc>
          <w:tcPr>
            <w:tcW w:w="1914" w:type="dxa"/>
            <w:gridSpan w:val="2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914" w:type="dxa"/>
            <w:gridSpan w:val="2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1915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63987" w:rsidRPr="004B20C4" w:rsidTr="00F96BC1">
        <w:tc>
          <w:tcPr>
            <w:tcW w:w="1914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4.16-5,51</w:t>
            </w:r>
          </w:p>
        </w:tc>
        <w:tc>
          <w:tcPr>
            <w:tcW w:w="1914" w:type="dxa"/>
            <w:gridSpan w:val="2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914" w:type="dxa"/>
            <w:gridSpan w:val="2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1915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63987" w:rsidRPr="004B20C4" w:rsidTr="00F96BC1">
        <w:tc>
          <w:tcPr>
            <w:tcW w:w="1914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5,52-6,87</w:t>
            </w:r>
          </w:p>
        </w:tc>
        <w:tc>
          <w:tcPr>
            <w:tcW w:w="1914" w:type="dxa"/>
            <w:gridSpan w:val="2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987" w:rsidRPr="004B20C4" w:rsidTr="00F96BC1">
        <w:tc>
          <w:tcPr>
            <w:tcW w:w="1914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6,88-8,23</w:t>
            </w:r>
          </w:p>
        </w:tc>
        <w:tc>
          <w:tcPr>
            <w:tcW w:w="1914" w:type="dxa"/>
            <w:gridSpan w:val="2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43" w:type="dxa"/>
            <w:gridSpan w:val="4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 xml:space="preserve">Условно средний класс, </w:t>
            </w:r>
            <w:proofErr w:type="gramStart"/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=7,555</w:t>
            </w:r>
          </w:p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987" w:rsidRPr="004B20C4" w:rsidTr="00F96BC1">
        <w:tc>
          <w:tcPr>
            <w:tcW w:w="1914" w:type="dxa"/>
            <w:tcBorders>
              <w:righ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8,24-9,6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3987" w:rsidRPr="004B20C4" w:rsidTr="00F96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20" w:type="dxa"/>
            <w:gridSpan w:val="2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</w:p>
        </w:tc>
        <w:tc>
          <w:tcPr>
            <w:tcW w:w="1908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20" w:type="dxa"/>
            <w:gridSpan w:val="2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</w:p>
        </w:tc>
        <w:tc>
          <w:tcPr>
            <w:tcW w:w="1915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</w:tbl>
    <w:p w:rsidR="00563987" w:rsidRPr="004B20C4" w:rsidRDefault="00563987" w:rsidP="005639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987" w:rsidRPr="004B20C4" w:rsidRDefault="00563987" w:rsidP="005639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0C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B20C4">
        <w:rPr>
          <w:rFonts w:ascii="Times New Roman" w:hAnsi="Times New Roman" w:cs="Times New Roman"/>
          <w:sz w:val="28"/>
          <w:szCs w:val="28"/>
        </w:rPr>
        <w:t>= 4,15-2,8=1,35</w:t>
      </w:r>
    </w:p>
    <w:p w:rsidR="00563987" w:rsidRPr="00E82AA7" w:rsidRDefault="00563987" w:rsidP="005639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AA7">
        <w:rPr>
          <w:rFonts w:ascii="Times New Roman" w:hAnsi="Times New Roman" w:cs="Times New Roman"/>
          <w:i/>
          <w:sz w:val="28"/>
          <w:szCs w:val="28"/>
        </w:rPr>
        <w:t>Вычисление средней величины признака:</w:t>
      </w:r>
    </w:p>
    <w:p w:rsidR="00563987" w:rsidRPr="004B20C4" w:rsidRDefault="00563987" w:rsidP="00563987">
      <w:pPr>
        <w:jc w:val="both"/>
        <w:rPr>
          <w:rFonts w:ascii="Times New Roman" w:hAnsi="Times New Roman" w:cs="Times New Roman"/>
          <w:sz w:val="28"/>
          <w:szCs w:val="28"/>
        </w:rPr>
      </w:pPr>
      <w:r w:rsidRPr="004B20C4">
        <w:rPr>
          <w:rFonts w:ascii="Times New Roman" w:hAnsi="Times New Roman" w:cs="Times New Roman"/>
          <w:sz w:val="28"/>
          <w:szCs w:val="28"/>
        </w:rPr>
        <w:t>М=7,555+(-31*1,35)/50=6,718</w:t>
      </w:r>
    </w:p>
    <w:p w:rsidR="00563987" w:rsidRPr="00E82AA7" w:rsidRDefault="00563987" w:rsidP="005639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2AA7">
        <w:rPr>
          <w:rFonts w:ascii="Times New Roman" w:hAnsi="Times New Roman" w:cs="Times New Roman"/>
          <w:i/>
          <w:sz w:val="28"/>
          <w:szCs w:val="28"/>
        </w:rPr>
        <w:t>Среднее квадратное отклонение:</w:t>
      </w:r>
    </w:p>
    <w:p w:rsidR="00563987" w:rsidRPr="004B20C4" w:rsidRDefault="00563987" w:rsidP="005639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B20C4">
        <w:rPr>
          <w:rFonts w:ascii="Times New Roman" w:hAnsi="Times New Roman" w:cs="Times New Roman"/>
          <w:sz w:val="28"/>
          <w:szCs w:val="28"/>
        </w:rPr>
        <w:t xml:space="preserve">σ= 1,35*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111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50</m:t>
                </m:r>
              </m:den>
            </m:f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50</m:t>
                </m:r>
              </m:den>
            </m:f>
          </m:e>
        </m:rad>
        <m:r>
          <w:rPr>
            <w:rFonts w:ascii="Cambria Math" w:hAnsi="Times New Roman" w:cs="Times New Roman"/>
            <w:sz w:val="28"/>
            <w:szCs w:val="28"/>
          </w:rPr>
          <m:t>)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B20C4">
        <w:rPr>
          <w:rFonts w:ascii="Times New Roman" w:eastAsiaTheme="minorEastAsia" w:hAnsi="Times New Roman" w:cs="Times New Roman"/>
          <w:sz w:val="28"/>
          <w:szCs w:val="28"/>
        </w:rPr>
        <w:t>=1,8</w:t>
      </w:r>
    </w:p>
    <w:p w:rsidR="00563987" w:rsidRPr="00E82AA7" w:rsidRDefault="00563987" w:rsidP="00563987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82AA7">
        <w:rPr>
          <w:rFonts w:ascii="Times New Roman" w:eastAsiaTheme="minorEastAsia" w:hAnsi="Times New Roman" w:cs="Times New Roman"/>
          <w:i/>
          <w:sz w:val="28"/>
          <w:szCs w:val="28"/>
        </w:rPr>
        <w:t>Коэффициент вариации:</w:t>
      </w:r>
    </w:p>
    <w:p w:rsidR="00563987" w:rsidRPr="004B20C4" w:rsidRDefault="00563987" w:rsidP="005639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B20C4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CV</w:t>
      </w:r>
      <w:r w:rsidRPr="004B20C4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1,8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6,718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100%</m:t>
        </m:r>
      </m:oMath>
      <w:r w:rsidRPr="004B20C4">
        <w:rPr>
          <w:rFonts w:ascii="Times New Roman" w:eastAsiaTheme="minorEastAsia" w:hAnsi="Times New Roman" w:cs="Times New Roman"/>
          <w:sz w:val="28"/>
          <w:szCs w:val="28"/>
        </w:rPr>
        <w:t>= 26,8%</w:t>
      </w:r>
    </w:p>
    <w:p w:rsidR="00563987" w:rsidRPr="00E82AA7" w:rsidRDefault="00563987" w:rsidP="00563987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E82AA7">
        <w:rPr>
          <w:rFonts w:ascii="Times New Roman" w:eastAsiaTheme="minorEastAsia" w:hAnsi="Times New Roman" w:cs="Times New Roman"/>
          <w:i/>
          <w:sz w:val="28"/>
          <w:szCs w:val="28"/>
        </w:rPr>
        <w:t>Репрезентативность выборочных показателей. Вычисление статистических ошибок и достоверности:</w:t>
      </w:r>
    </w:p>
    <w:p w:rsidR="00563987" w:rsidRPr="004B20C4" w:rsidRDefault="00563987" w:rsidP="005639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4B20C4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4B20C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4B20C4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1,8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49</m:t>
                </m:r>
              </m:e>
            </m:rad>
          </m:den>
        </m:f>
      </m:oMath>
      <w:r w:rsidRPr="004B20C4">
        <w:rPr>
          <w:rFonts w:ascii="Times New Roman" w:eastAsiaTheme="minorEastAsia" w:hAnsi="Times New Roman" w:cs="Times New Roman"/>
          <w:sz w:val="28"/>
          <w:szCs w:val="28"/>
        </w:rPr>
        <w:t xml:space="preserve"> = 0,3</w:t>
      </w:r>
    </w:p>
    <w:p w:rsidR="00563987" w:rsidRPr="004B20C4" w:rsidRDefault="00563987" w:rsidP="005639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B20C4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4B20C4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</w:t>
      </w:r>
      <w:r w:rsidRPr="004B20C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</w:t>
      </w:r>
      <w:r w:rsidRPr="004B20C4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26,8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100</m:t>
                </m:r>
              </m:e>
            </m:rad>
          </m:den>
        </m:f>
      </m:oMath>
      <w:r w:rsidRPr="004B20C4">
        <w:rPr>
          <w:rFonts w:ascii="Times New Roman" w:eastAsiaTheme="minorEastAsia" w:hAnsi="Times New Roman" w:cs="Times New Roman"/>
          <w:sz w:val="28"/>
          <w:szCs w:val="28"/>
        </w:rPr>
        <w:t xml:space="preserve"> = 0,268</w:t>
      </w:r>
    </w:p>
    <w:p w:rsidR="00563987" w:rsidRPr="004B20C4" w:rsidRDefault="00563987" w:rsidP="005639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E82AA7">
        <w:rPr>
          <w:rFonts w:ascii="Times New Roman" w:eastAsiaTheme="minorEastAsia" w:hAnsi="Times New Roman" w:cs="Times New Roman"/>
          <w:sz w:val="28"/>
          <w:szCs w:val="28"/>
        </w:rPr>
        <w:t xml:space="preserve"> ±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E82AA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4B20C4">
        <w:rPr>
          <w:rFonts w:ascii="Times New Roman" w:eastAsiaTheme="minorEastAsia" w:hAnsi="Times New Roman" w:cs="Times New Roman"/>
          <w:sz w:val="28"/>
          <w:szCs w:val="28"/>
        </w:rPr>
        <w:t>6,718 ± 0,3</w:t>
      </w:r>
    </w:p>
    <w:p w:rsidR="00563987" w:rsidRPr="004B20C4" w:rsidRDefault="00563987" w:rsidP="005639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CV ± m = </w:t>
      </w:r>
      <w:r w:rsidRPr="004B20C4">
        <w:rPr>
          <w:rFonts w:ascii="Times New Roman" w:eastAsiaTheme="minorEastAsia" w:hAnsi="Times New Roman" w:cs="Times New Roman"/>
          <w:sz w:val="28"/>
          <w:szCs w:val="28"/>
        </w:rPr>
        <w:t>26,8 ± 0,19</w:t>
      </w:r>
    </w:p>
    <w:p w:rsidR="00563987" w:rsidRDefault="00563987" w:rsidP="005639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987" w:rsidRDefault="00563987" w:rsidP="00563987">
      <w:pPr>
        <w:jc w:val="both"/>
        <w:rPr>
          <w:rFonts w:ascii="Times New Roman" w:hAnsi="Times New Roman" w:cs="Times New Roman"/>
          <w:sz w:val="28"/>
          <w:szCs w:val="28"/>
        </w:rPr>
      </w:pPr>
      <w:r w:rsidRPr="004B20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EF5F70" wp14:editId="0C2D0C5B">
            <wp:extent cx="4499610" cy="2400300"/>
            <wp:effectExtent l="19050" t="0" r="1524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3987" w:rsidRPr="00651878" w:rsidRDefault="00563987" w:rsidP="005639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Рис.3. Соотношение полов</w:t>
      </w:r>
    </w:p>
    <w:p w:rsidR="00563987" w:rsidRDefault="00563987" w:rsidP="005639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0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3FA92B" wp14:editId="2049B39C">
            <wp:extent cx="4568190" cy="2499360"/>
            <wp:effectExtent l="19050" t="0" r="2286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3987" w:rsidRPr="00651878" w:rsidRDefault="00563987" w:rsidP="00563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Рис.4. Наличие полосы</w:t>
      </w:r>
    </w:p>
    <w:p w:rsidR="00563987" w:rsidRDefault="00563987" w:rsidP="005639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563987" w:rsidRPr="004B20C4" w:rsidRDefault="00563987" w:rsidP="00563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Частота встречаемости различных вариаций окраски кожных покровов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микропопуляции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озерной лягушки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37"/>
        <w:gridCol w:w="1799"/>
        <w:gridCol w:w="2909"/>
      </w:tblGrid>
      <w:tr w:rsidR="00563987" w:rsidRPr="004B20C4" w:rsidTr="00F96BC1">
        <w:tc>
          <w:tcPr>
            <w:tcW w:w="4785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окраска</w:t>
            </w: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№ особей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Встречаемость, %</w:t>
            </w:r>
          </w:p>
        </w:tc>
      </w:tr>
      <w:tr w:rsidR="00563987" w:rsidRPr="004B20C4" w:rsidTr="00F96BC1">
        <w:tc>
          <w:tcPr>
            <w:tcW w:w="4785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63987" w:rsidRPr="004B20C4" w:rsidTr="00F96BC1">
        <w:tc>
          <w:tcPr>
            <w:tcW w:w="4785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Св.-зеленый</w:t>
            </w:r>
          </w:p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987" w:rsidRPr="004B20C4" w:rsidTr="00F96BC1">
        <w:tc>
          <w:tcPr>
            <w:tcW w:w="4785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Тем.-</w:t>
            </w:r>
            <w:proofErr w:type="gramEnd"/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63987" w:rsidRPr="004B20C4" w:rsidTr="00F96BC1">
        <w:tc>
          <w:tcPr>
            <w:tcW w:w="4785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Оливковый</w:t>
            </w:r>
          </w:p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987" w:rsidRPr="004B20C4" w:rsidTr="00F96BC1">
        <w:tc>
          <w:tcPr>
            <w:tcW w:w="4785" w:type="dxa"/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Серо-оливковый</w:t>
            </w:r>
          </w:p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righ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0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63987" w:rsidRPr="004B20C4" w:rsidRDefault="00563987" w:rsidP="00F96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563987" w:rsidRDefault="00563987" w:rsidP="0056398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B20C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t=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6,718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5,709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0,04+0,09</m:t>
                </m:r>
              </m:e>
            </m:rad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</m:oMath>
      <w:r w:rsidRPr="004B20C4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1,009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0,36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=2,8</m:t>
        </m:r>
      </m:oMath>
    </w:p>
    <w:p w:rsidR="00563987" w:rsidRDefault="00563987" w:rsidP="00563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E9">
        <w:rPr>
          <w:rFonts w:ascii="Times New Roman" w:hAnsi="Times New Roman" w:cs="Times New Roman"/>
          <w:sz w:val="28"/>
          <w:szCs w:val="28"/>
        </w:rPr>
        <w:t>Преобладание самок</w:t>
      </w:r>
      <w:r>
        <w:rPr>
          <w:rFonts w:ascii="Times New Roman" w:hAnsi="Times New Roman" w:cs="Times New Roman"/>
          <w:sz w:val="28"/>
          <w:szCs w:val="28"/>
        </w:rPr>
        <w:t xml:space="preserve"> (около 60%)</w:t>
      </w:r>
      <w:r w:rsidRPr="00FA27E9">
        <w:rPr>
          <w:rFonts w:ascii="Times New Roman" w:hAnsi="Times New Roman" w:cs="Times New Roman"/>
          <w:sz w:val="28"/>
          <w:szCs w:val="28"/>
        </w:rPr>
        <w:t xml:space="preserve"> свидетельствует о </w:t>
      </w:r>
      <w:proofErr w:type="spellStart"/>
      <w:r w:rsidRPr="00FA27E9">
        <w:rPr>
          <w:rFonts w:ascii="Times New Roman" w:hAnsi="Times New Roman" w:cs="Times New Roman"/>
          <w:sz w:val="28"/>
          <w:szCs w:val="28"/>
        </w:rPr>
        <w:t>неблагоприятности</w:t>
      </w:r>
      <w:proofErr w:type="spellEnd"/>
      <w:r w:rsidRPr="00FA27E9">
        <w:rPr>
          <w:rFonts w:ascii="Times New Roman" w:hAnsi="Times New Roman" w:cs="Times New Roman"/>
          <w:sz w:val="28"/>
          <w:szCs w:val="28"/>
        </w:rPr>
        <w:t xml:space="preserve"> условий обитания, так как мужские особи менее женских </w:t>
      </w:r>
      <w:proofErr w:type="spellStart"/>
      <w:r w:rsidRPr="00FA27E9">
        <w:rPr>
          <w:rFonts w:ascii="Times New Roman" w:hAnsi="Times New Roman" w:cs="Times New Roman"/>
          <w:sz w:val="28"/>
          <w:szCs w:val="28"/>
        </w:rPr>
        <w:t>резистентны</w:t>
      </w:r>
      <w:proofErr w:type="spellEnd"/>
      <w:r w:rsidRPr="00FA27E9">
        <w:rPr>
          <w:rFonts w:ascii="Times New Roman" w:hAnsi="Times New Roman" w:cs="Times New Roman"/>
          <w:sz w:val="28"/>
          <w:szCs w:val="28"/>
        </w:rPr>
        <w:t xml:space="preserve"> к действию неблагоприятных воздействий и при внезапных существенных изменениях среды смертность среди них выше</w:t>
      </w:r>
      <w:r>
        <w:rPr>
          <w:rFonts w:ascii="Times New Roman" w:hAnsi="Times New Roman" w:cs="Times New Roman"/>
          <w:sz w:val="28"/>
          <w:szCs w:val="28"/>
        </w:rPr>
        <w:t xml:space="preserve"> (Рис.1, Рис.3)</w:t>
      </w:r>
      <w:r w:rsidRPr="00FA2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987" w:rsidRDefault="00563987" w:rsidP="00563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E9">
        <w:rPr>
          <w:rFonts w:ascii="Times New Roman" w:hAnsi="Times New Roman" w:cs="Times New Roman"/>
          <w:sz w:val="28"/>
          <w:szCs w:val="28"/>
        </w:rPr>
        <w:t>Изучение внутрипопуляционного характера окраски озерной лягушки</w:t>
      </w:r>
      <w:r>
        <w:rPr>
          <w:rFonts w:ascii="Times New Roman" w:hAnsi="Times New Roman" w:cs="Times New Roman"/>
          <w:sz w:val="28"/>
          <w:szCs w:val="28"/>
        </w:rPr>
        <w:t xml:space="preserve"> (табл.2, табл.4)</w:t>
      </w:r>
      <w:r w:rsidRPr="00FA27E9">
        <w:rPr>
          <w:rFonts w:ascii="Times New Roman" w:hAnsi="Times New Roman" w:cs="Times New Roman"/>
          <w:sz w:val="28"/>
          <w:szCs w:val="28"/>
        </w:rPr>
        <w:t xml:space="preserve"> позволило выявить значительную степень полиморфизма.</w:t>
      </w:r>
      <w:r>
        <w:rPr>
          <w:rFonts w:ascii="Times New Roman" w:hAnsi="Times New Roman" w:cs="Times New Roman"/>
          <w:sz w:val="28"/>
          <w:szCs w:val="28"/>
        </w:rPr>
        <w:t xml:space="preserve"> В исследуемых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микропопуляциях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выявлены 3 варианта</w:t>
      </w:r>
      <w:r w:rsidRPr="00FA27E9">
        <w:rPr>
          <w:rFonts w:ascii="Times New Roman" w:hAnsi="Times New Roman" w:cs="Times New Roman"/>
          <w:sz w:val="28"/>
          <w:szCs w:val="28"/>
        </w:rPr>
        <w:t xml:space="preserve"> окраски: зеленый, темно-зеленый и серо-оливковый. Соотношение частоты встречаемости различных вариантов окраски в </w:t>
      </w:r>
      <w:proofErr w:type="spellStart"/>
      <w:r w:rsidRPr="00FA27E9">
        <w:rPr>
          <w:rFonts w:ascii="Times New Roman" w:hAnsi="Times New Roman" w:cs="Times New Roman"/>
          <w:sz w:val="28"/>
          <w:szCs w:val="28"/>
        </w:rPr>
        <w:t>микропопуляциях</w:t>
      </w:r>
      <w:proofErr w:type="spellEnd"/>
      <w:r w:rsidRPr="00FA27E9">
        <w:rPr>
          <w:rFonts w:ascii="Times New Roman" w:hAnsi="Times New Roman" w:cs="Times New Roman"/>
          <w:sz w:val="28"/>
          <w:szCs w:val="28"/>
        </w:rPr>
        <w:t xml:space="preserve"> сходно: большая часть приходится на одну доминантную и несколько </w:t>
      </w:r>
      <w:proofErr w:type="spellStart"/>
      <w:r w:rsidRPr="00FA27E9">
        <w:rPr>
          <w:rFonts w:ascii="Times New Roman" w:hAnsi="Times New Roman" w:cs="Times New Roman"/>
          <w:sz w:val="28"/>
          <w:szCs w:val="28"/>
        </w:rPr>
        <w:t>с</w:t>
      </w:r>
      <w:r w:rsidR="005367D2">
        <w:rPr>
          <w:rFonts w:ascii="Times New Roman" w:hAnsi="Times New Roman" w:cs="Times New Roman"/>
          <w:sz w:val="28"/>
          <w:szCs w:val="28"/>
        </w:rPr>
        <w:t>убдоминантных</w:t>
      </w:r>
      <w:proofErr w:type="spellEnd"/>
      <w:r w:rsidR="005367D2">
        <w:rPr>
          <w:rFonts w:ascii="Times New Roman" w:hAnsi="Times New Roman" w:cs="Times New Roman"/>
          <w:sz w:val="28"/>
          <w:szCs w:val="28"/>
        </w:rPr>
        <w:t xml:space="preserve"> форм. Так, в </w:t>
      </w:r>
      <w:proofErr w:type="spellStart"/>
      <w:r w:rsidR="005367D2">
        <w:rPr>
          <w:rFonts w:ascii="Times New Roman" w:hAnsi="Times New Roman" w:cs="Times New Roman"/>
          <w:sz w:val="28"/>
          <w:szCs w:val="28"/>
        </w:rPr>
        <w:t>о.Безымянное</w:t>
      </w:r>
      <w:proofErr w:type="spellEnd"/>
      <w:r w:rsidRPr="00FA27E9">
        <w:rPr>
          <w:rFonts w:ascii="Times New Roman" w:hAnsi="Times New Roman" w:cs="Times New Roman"/>
          <w:sz w:val="28"/>
          <w:szCs w:val="28"/>
        </w:rPr>
        <w:t xml:space="preserve"> темно-зеленая окраска доминантна</w:t>
      </w:r>
      <w:r>
        <w:rPr>
          <w:rFonts w:ascii="Times New Roman" w:hAnsi="Times New Roman" w:cs="Times New Roman"/>
          <w:sz w:val="28"/>
          <w:szCs w:val="28"/>
        </w:rPr>
        <w:t xml:space="preserve"> и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субдоминантных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микропо</w:t>
      </w:r>
      <w:r w:rsidRPr="00FA27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27E9">
        <w:rPr>
          <w:rFonts w:ascii="Times New Roman" w:hAnsi="Times New Roman" w:cs="Times New Roman"/>
          <w:sz w:val="28"/>
          <w:szCs w:val="28"/>
        </w:rPr>
        <w:t>ляции</w:t>
      </w:r>
      <w:proofErr w:type="spellEnd"/>
      <w:r w:rsidRPr="00FA2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7D2">
        <w:rPr>
          <w:rFonts w:ascii="Times New Roman" w:hAnsi="Times New Roman" w:cs="Times New Roman"/>
          <w:sz w:val="28"/>
          <w:szCs w:val="28"/>
        </w:rPr>
        <w:t>о.Круглое</w:t>
      </w:r>
      <w:proofErr w:type="spellEnd"/>
      <w:r w:rsidRPr="00FA27E9">
        <w:rPr>
          <w:rFonts w:ascii="Times New Roman" w:hAnsi="Times New Roman" w:cs="Times New Roman"/>
          <w:sz w:val="28"/>
          <w:szCs w:val="28"/>
        </w:rPr>
        <w:t xml:space="preserve"> также темно-зеленая окраска доминантна и 1 </w:t>
      </w:r>
      <w:proofErr w:type="spellStart"/>
      <w:r w:rsidRPr="00FA27E9">
        <w:rPr>
          <w:rFonts w:ascii="Times New Roman" w:hAnsi="Times New Roman" w:cs="Times New Roman"/>
          <w:sz w:val="28"/>
          <w:szCs w:val="28"/>
        </w:rPr>
        <w:t>субдоминантна</w:t>
      </w:r>
      <w:proofErr w:type="spellEnd"/>
      <w:r w:rsidRPr="00FA2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говорить про первую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микропопуляцию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67D2">
        <w:rPr>
          <w:rFonts w:ascii="Times New Roman" w:hAnsi="Times New Roman" w:cs="Times New Roman"/>
          <w:sz w:val="28"/>
          <w:szCs w:val="28"/>
        </w:rPr>
        <w:t>о.Круглое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то преобладает темно-зеленая окраска 60%, на втором стоит зеленая окраска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40%. У второй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микропопуляции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67D2">
        <w:rPr>
          <w:rFonts w:ascii="Times New Roman" w:hAnsi="Times New Roman" w:cs="Times New Roman"/>
          <w:sz w:val="28"/>
          <w:szCs w:val="28"/>
        </w:rPr>
        <w:t>о.Безымянное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соотношение несколько иначе: темно-зеленый окрас так же составляет 60%, зеленый 22% и серо-оливковый 18%.</w:t>
      </w:r>
      <w:r w:rsidRPr="00FA2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987" w:rsidRPr="00FA27E9" w:rsidRDefault="00563987" w:rsidP="005639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E9">
        <w:rPr>
          <w:rFonts w:ascii="Times New Roman" w:hAnsi="Times New Roman" w:cs="Times New Roman"/>
          <w:sz w:val="28"/>
          <w:szCs w:val="28"/>
        </w:rPr>
        <w:t xml:space="preserve">В двух </w:t>
      </w:r>
      <w:proofErr w:type="spellStart"/>
      <w:r w:rsidRPr="00FA27E9">
        <w:rPr>
          <w:rFonts w:ascii="Times New Roman" w:hAnsi="Times New Roman" w:cs="Times New Roman"/>
          <w:sz w:val="28"/>
          <w:szCs w:val="28"/>
        </w:rPr>
        <w:t>микропопуляциях</w:t>
      </w:r>
      <w:proofErr w:type="spellEnd"/>
      <w:r w:rsidRPr="00FA27E9">
        <w:rPr>
          <w:rFonts w:ascii="Times New Roman" w:hAnsi="Times New Roman" w:cs="Times New Roman"/>
          <w:sz w:val="28"/>
          <w:szCs w:val="28"/>
        </w:rPr>
        <w:t xml:space="preserve"> большинство особей имеют полоску</w:t>
      </w:r>
      <w:r>
        <w:rPr>
          <w:rFonts w:ascii="Times New Roman" w:hAnsi="Times New Roman" w:cs="Times New Roman"/>
          <w:sz w:val="28"/>
          <w:szCs w:val="28"/>
        </w:rPr>
        <w:t xml:space="preserve"> (около 80-86%) (Рис.2, Рис.4)</w:t>
      </w:r>
      <w:r w:rsidRPr="00FA27E9">
        <w:rPr>
          <w:rFonts w:ascii="Times New Roman" w:hAnsi="Times New Roman" w:cs="Times New Roman"/>
          <w:sz w:val="28"/>
          <w:szCs w:val="28"/>
        </w:rPr>
        <w:t>. Возможно, особи с полосой лучше приспособлены к выживанию в неблагоприятных условиях, что связано с более высоким содержанием в их крови железа. Но бесполые особи, имея меньшее по сравнению с полосатыми содержание железа, отличаетс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27E9">
        <w:rPr>
          <w:rFonts w:ascii="Times New Roman" w:hAnsi="Times New Roman" w:cs="Times New Roman"/>
          <w:sz w:val="28"/>
          <w:szCs w:val="28"/>
        </w:rPr>
        <w:t xml:space="preserve"> повышением в 3-4 раза содержанием микроэлементов – марганца, никеля, хрома, олова, цинка. Последние являются важными компонентами ферментов, отвечающих за уровень метаболизма. Надо полагать, что </w:t>
      </w:r>
      <w:proofErr w:type="spellStart"/>
      <w:r w:rsidRPr="00FA27E9">
        <w:rPr>
          <w:rFonts w:ascii="Times New Roman" w:hAnsi="Times New Roman" w:cs="Times New Roman"/>
          <w:sz w:val="28"/>
          <w:szCs w:val="28"/>
        </w:rPr>
        <w:t>бесполосая</w:t>
      </w:r>
      <w:proofErr w:type="spellEnd"/>
      <w:r w:rsidRPr="00FA27E9">
        <w:rPr>
          <w:rFonts w:ascii="Times New Roman" w:hAnsi="Times New Roman" w:cs="Times New Roman"/>
          <w:sz w:val="28"/>
          <w:szCs w:val="28"/>
        </w:rPr>
        <w:t xml:space="preserve"> форма обладает каким-то физиологическими особенностями, выгодными для вида в относительно стабильных условиях существования.</w:t>
      </w:r>
    </w:p>
    <w:p w:rsidR="00563987" w:rsidRDefault="00563987" w:rsidP="005639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563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563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563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563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563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563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563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563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563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563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563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563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563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563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563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987" w:rsidRDefault="00563987" w:rsidP="00563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63987" w:rsidRDefault="00563987" w:rsidP="005639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были решены следующие задачи:</w:t>
      </w:r>
    </w:p>
    <w:p w:rsidR="00563987" w:rsidRPr="00BF73EB" w:rsidRDefault="00563987" w:rsidP="0056398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3EB">
        <w:rPr>
          <w:rFonts w:ascii="Times New Roman" w:hAnsi="Times New Roman" w:cs="Times New Roman"/>
          <w:sz w:val="28"/>
          <w:szCs w:val="28"/>
        </w:rPr>
        <w:t>Ознакомились с историей изучения популяции озерной лягушки:</w:t>
      </w:r>
    </w:p>
    <w:p w:rsidR="00563987" w:rsidRPr="00FB2692" w:rsidRDefault="00563987" w:rsidP="005639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годами изучения популяции озерной лягушки является середина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92A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Под руководством Б. С. </w:t>
      </w:r>
      <w:proofErr w:type="spellStart"/>
      <w:r w:rsidRPr="00FB2692">
        <w:rPr>
          <w:rFonts w:ascii="Times New Roman" w:hAnsi="Times New Roman" w:cs="Times New Roman"/>
          <w:color w:val="000000"/>
          <w:sz w:val="28"/>
          <w:szCs w:val="28"/>
        </w:rPr>
        <w:t>Кубанцева</w:t>
      </w:r>
      <w:proofErr w:type="spellEnd"/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ученики и сотру</w:t>
      </w:r>
      <w:r>
        <w:rPr>
          <w:rFonts w:ascii="Times New Roman" w:hAnsi="Times New Roman" w:cs="Times New Roman"/>
          <w:color w:val="000000"/>
          <w:sz w:val="28"/>
          <w:szCs w:val="28"/>
        </w:rPr>
        <w:t>дники начали в 1970-е гг. иссле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довать на Волге различные аспекты биологии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озёрной лягушки (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Rana</w:t>
      </w:r>
      <w:proofErr w:type="spellEnd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ridibunda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и зелёной жа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бы (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Bufo</w:t>
      </w:r>
      <w:proofErr w:type="spellEnd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B2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viridis</w:t>
      </w:r>
      <w:proofErr w:type="spellEnd"/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) (Жукова,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родничев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Ковылки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. А в </w:t>
      </w:r>
      <w:r>
        <w:rPr>
          <w:rFonts w:ascii="Times New Roman" w:hAnsi="Times New Roman" w:cs="Times New Roman"/>
          <w:color w:val="000000"/>
          <w:sz w:val="28"/>
          <w:szCs w:val="28"/>
        </w:rPr>
        <w:t>1980-е гг. близким, активным по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мощником Б. С. </w:t>
      </w:r>
      <w:proofErr w:type="spellStart"/>
      <w:r w:rsidRPr="00FB2692">
        <w:rPr>
          <w:rFonts w:ascii="Times New Roman" w:hAnsi="Times New Roman" w:cs="Times New Roman"/>
          <w:color w:val="000000"/>
          <w:sz w:val="28"/>
          <w:szCs w:val="28"/>
        </w:rPr>
        <w:t>Кубанцева</w:t>
      </w:r>
      <w:proofErr w:type="spellEnd"/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 стал Н. Н. </w:t>
      </w:r>
      <w:proofErr w:type="spellStart"/>
      <w:r w:rsidRPr="00FB2692">
        <w:rPr>
          <w:rFonts w:ascii="Times New Roman" w:hAnsi="Times New Roman" w:cs="Times New Roman"/>
          <w:color w:val="000000"/>
          <w:sz w:val="28"/>
          <w:szCs w:val="28"/>
        </w:rPr>
        <w:t>Колякин</w:t>
      </w:r>
      <w:proofErr w:type="spellEnd"/>
      <w:r w:rsidRPr="00FB269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изучавший </w:t>
      </w:r>
      <w:r>
        <w:rPr>
          <w:rFonts w:ascii="Times New Roman" w:hAnsi="Times New Roman" w:cs="Times New Roman"/>
          <w:color w:val="000000"/>
          <w:sz w:val="28"/>
          <w:szCs w:val="28"/>
        </w:rPr>
        <w:t>в основном пресмыкающихся и зем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новодных Н</w:t>
      </w:r>
      <w:r>
        <w:rPr>
          <w:rFonts w:ascii="Times New Roman" w:hAnsi="Times New Roman" w:cs="Times New Roman"/>
          <w:color w:val="000000"/>
          <w:sz w:val="28"/>
          <w:szCs w:val="28"/>
        </w:rPr>
        <w:t>ижнего Поволжья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Кроме волгоградских зоологов, изучением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амфибий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рептилий Нижнего Поволжья зани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мались также московски</w:t>
      </w:r>
      <w:r>
        <w:rPr>
          <w:rFonts w:ascii="Times New Roman" w:hAnsi="Times New Roman" w:cs="Times New Roman"/>
          <w:color w:val="000000"/>
          <w:sz w:val="28"/>
          <w:szCs w:val="28"/>
        </w:rPr>
        <w:t>е ученые. Так, с середи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>ны ХХ в. ими ведется регулярный мониторинг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фауны </w:t>
      </w:r>
      <w:proofErr w:type="spellStart"/>
      <w:r w:rsidRPr="00FB2692">
        <w:rPr>
          <w:rFonts w:ascii="Times New Roman" w:hAnsi="Times New Roman" w:cs="Times New Roman"/>
          <w:color w:val="000000"/>
          <w:sz w:val="28"/>
          <w:szCs w:val="28"/>
        </w:rPr>
        <w:t>Приэльтонья</w:t>
      </w:r>
      <w:proofErr w:type="spellEnd"/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FB2692">
        <w:rPr>
          <w:rFonts w:ascii="Times New Roman" w:hAnsi="Times New Roman" w:cs="Times New Roman"/>
          <w:color w:val="000000"/>
          <w:sz w:val="28"/>
          <w:szCs w:val="28"/>
        </w:rPr>
        <w:t>Динесман</w:t>
      </w:r>
      <w:proofErr w:type="spellEnd"/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B2692">
        <w:rPr>
          <w:rFonts w:ascii="Times New Roman" w:hAnsi="Times New Roman" w:cs="Times New Roman"/>
          <w:color w:val="000000"/>
          <w:sz w:val="28"/>
          <w:szCs w:val="28"/>
        </w:rPr>
        <w:t>Ходашова</w:t>
      </w:r>
      <w:proofErr w:type="spellEnd"/>
      <w:proofErr w:type="gramEnd"/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; Быков; </w:t>
      </w:r>
      <w:proofErr w:type="spellStart"/>
      <w:r w:rsidRPr="00FB2692">
        <w:rPr>
          <w:rFonts w:ascii="Times New Roman" w:hAnsi="Times New Roman" w:cs="Times New Roman"/>
          <w:color w:val="000000"/>
          <w:sz w:val="28"/>
          <w:szCs w:val="28"/>
        </w:rPr>
        <w:t>Линдеман</w:t>
      </w:r>
      <w:proofErr w:type="spellEnd"/>
      <w:r w:rsidRPr="00FB2692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563987" w:rsidRPr="00792A5D" w:rsidRDefault="00563987" w:rsidP="00563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Рассмотрены основные методы учета популяции земноводных:</w:t>
      </w:r>
    </w:p>
    <w:p w:rsidR="00563987" w:rsidRPr="00B75D2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75D2D">
        <w:rPr>
          <w:rFonts w:ascii="Times New Roman" w:eastAsia="TimesNewRomanPSMT" w:hAnsi="Times New Roman" w:cs="Times New Roman"/>
          <w:sz w:val="28"/>
          <w:szCs w:val="28"/>
        </w:rPr>
        <w:t>В последнее время многие виды амфибий и рептилий используются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качестве биоиндикаторов состояния экосистем при проведении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экологического мониторинга. При этом специалисты проводят сравнительное изучение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популяций, обитающих на территориях с различной степенью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антропогенного воздействия. Результаты подобных исследований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позволяют оценить возможное влияние окружающей среды на здоровье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75D2D">
        <w:rPr>
          <w:rFonts w:ascii="Times New Roman" w:eastAsia="TimesNewRomanPSMT" w:hAnsi="Times New Roman" w:cs="Times New Roman"/>
          <w:sz w:val="28"/>
          <w:szCs w:val="28"/>
        </w:rPr>
        <w:t>самого человека.</w:t>
      </w:r>
    </w:p>
    <w:p w:rsidR="00563987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выделены два основных учета: м</w:t>
      </w:r>
      <w:r w:rsidRPr="00792A5D">
        <w:rPr>
          <w:rFonts w:ascii="Times New Roman" w:hAnsi="Times New Roman" w:cs="Times New Roman"/>
          <w:sz w:val="28"/>
          <w:szCs w:val="28"/>
        </w:rPr>
        <w:t xml:space="preserve">аршрутный учет, в котором так же можно выделить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чет</w:t>
      </w:r>
      <w:r w:rsidRPr="00792A5D">
        <w:rPr>
          <w:rFonts w:ascii="Times New Roman" w:eastAsia="TimesNewRomanPSMT" w:hAnsi="Times New Roman" w:cs="Times New Roman"/>
          <w:bCs/>
          <w:sz w:val="28"/>
          <w:szCs w:val="28"/>
        </w:rPr>
        <w:t xml:space="preserve"> гибели амфибий на дорогах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bCs/>
          <w:sz w:val="28"/>
          <w:szCs w:val="28"/>
        </w:rPr>
        <w:t>и  с</w:t>
      </w:r>
      <w:r w:rsidRPr="00792A5D">
        <w:rPr>
          <w:rFonts w:ascii="Times New Roman" w:eastAsia="TimesNewRomanPSMT" w:hAnsi="Times New Roman" w:cs="Times New Roman"/>
          <w:bCs/>
          <w:sz w:val="28"/>
          <w:szCs w:val="28"/>
        </w:rPr>
        <w:t>тационарные</w:t>
      </w:r>
      <w:proofErr w:type="gramEnd"/>
      <w:r w:rsidRPr="00792A5D">
        <w:rPr>
          <w:rFonts w:ascii="Times New Roman" w:eastAsia="TimesNewRomanPSMT" w:hAnsi="Times New Roman" w:cs="Times New Roman"/>
          <w:bCs/>
          <w:sz w:val="28"/>
          <w:szCs w:val="28"/>
        </w:rPr>
        <w:t xml:space="preserve"> методы учета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(в них можно выделить у</w:t>
      </w:r>
      <w:r w:rsidRPr="00792A5D">
        <w:rPr>
          <w:rFonts w:ascii="Times New Roman" w:eastAsia="TimesNewRomanPSMT" w:hAnsi="Times New Roman" w:cs="Times New Roman"/>
          <w:bCs/>
          <w:sz w:val="28"/>
          <w:szCs w:val="28"/>
        </w:rPr>
        <w:t>четы с помощью ловчих траншей или заборчиков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, у</w:t>
      </w:r>
      <w:r w:rsidRPr="00792A5D">
        <w:rPr>
          <w:rFonts w:ascii="Times New Roman" w:eastAsia="TimesNewRomanPSMT" w:hAnsi="Times New Roman" w:cs="Times New Roman"/>
          <w:bCs/>
          <w:sz w:val="28"/>
          <w:szCs w:val="28"/>
        </w:rPr>
        <w:t>четы на пробных площадках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и о</w:t>
      </w:r>
      <w:r w:rsidRPr="00792A5D">
        <w:rPr>
          <w:rFonts w:ascii="Times New Roman" w:eastAsia="TimesNewRomanPSMT" w:hAnsi="Times New Roman" w:cs="Times New Roman"/>
          <w:bCs/>
          <w:sz w:val="28"/>
          <w:szCs w:val="28"/>
        </w:rPr>
        <w:t>собенности проведения учетов земноводных в период их размножения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).</w:t>
      </w:r>
    </w:p>
    <w:p w:rsidR="00563987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3. П</w:t>
      </w:r>
      <w:r>
        <w:rPr>
          <w:rFonts w:ascii="Times New Roman" w:hAnsi="Times New Roman" w:cs="Times New Roman"/>
          <w:sz w:val="28"/>
          <w:szCs w:val="28"/>
        </w:rPr>
        <w:t>роведен</w:t>
      </w:r>
      <w:r w:rsidRPr="00646617">
        <w:rPr>
          <w:rFonts w:ascii="Times New Roman" w:hAnsi="Times New Roman" w:cs="Times New Roman"/>
          <w:sz w:val="28"/>
          <w:szCs w:val="28"/>
        </w:rPr>
        <w:t xml:space="preserve"> экологический анализ популяции озерной лягушки </w:t>
      </w:r>
      <w:proofErr w:type="spellStart"/>
      <w:r w:rsidR="00D333F5">
        <w:rPr>
          <w:rFonts w:ascii="Times New Roman" w:hAnsi="Times New Roman" w:cs="Times New Roman"/>
          <w:sz w:val="28"/>
          <w:szCs w:val="28"/>
        </w:rPr>
        <w:t>г.Волжского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42C06" w:rsidRDefault="00563987" w:rsidP="00E42C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Изучены 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микропопуляции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озерной лягушки на территории </w:t>
      </w:r>
      <w:proofErr w:type="spellStart"/>
      <w:r w:rsidR="005367D2">
        <w:rPr>
          <w:rFonts w:ascii="Times New Roman" w:hAnsi="Times New Roman" w:cs="Times New Roman"/>
          <w:sz w:val="28"/>
          <w:szCs w:val="28"/>
        </w:rPr>
        <w:t>о.Круглое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67D2">
        <w:rPr>
          <w:rFonts w:ascii="Times New Roman" w:hAnsi="Times New Roman" w:cs="Times New Roman"/>
          <w:sz w:val="28"/>
          <w:szCs w:val="28"/>
        </w:rPr>
        <w:t>о.Безымянное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двух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микропопуляциях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преобладание полосатых особей, что можно говорить о загрязненности водоема и реки; так же большинство самок в отличие от самцов.</w:t>
      </w:r>
      <w:r w:rsidRPr="00BF73EB">
        <w:rPr>
          <w:rFonts w:ascii="Times New Roman" w:hAnsi="Times New Roman" w:cs="Times New Roman"/>
          <w:sz w:val="28"/>
          <w:szCs w:val="28"/>
        </w:rPr>
        <w:t xml:space="preserve"> </w:t>
      </w:r>
      <w:r w:rsidRPr="00FA27E9">
        <w:rPr>
          <w:rFonts w:ascii="Times New Roman" w:hAnsi="Times New Roman" w:cs="Times New Roman"/>
          <w:sz w:val="28"/>
          <w:szCs w:val="28"/>
        </w:rPr>
        <w:t xml:space="preserve">Преобладание самок свидетельствует о </w:t>
      </w:r>
      <w:proofErr w:type="spellStart"/>
      <w:r w:rsidRPr="00FA27E9">
        <w:rPr>
          <w:rFonts w:ascii="Times New Roman" w:hAnsi="Times New Roman" w:cs="Times New Roman"/>
          <w:sz w:val="28"/>
          <w:szCs w:val="28"/>
        </w:rPr>
        <w:t>неблагоприятности</w:t>
      </w:r>
      <w:proofErr w:type="spellEnd"/>
      <w:r w:rsidRPr="00FA27E9">
        <w:rPr>
          <w:rFonts w:ascii="Times New Roman" w:hAnsi="Times New Roman" w:cs="Times New Roman"/>
          <w:sz w:val="28"/>
          <w:szCs w:val="28"/>
        </w:rPr>
        <w:t xml:space="preserve"> условий обитания, так как мужские особи менее женских </w:t>
      </w:r>
      <w:proofErr w:type="spellStart"/>
      <w:r w:rsidRPr="00FA27E9">
        <w:rPr>
          <w:rFonts w:ascii="Times New Roman" w:hAnsi="Times New Roman" w:cs="Times New Roman"/>
          <w:sz w:val="28"/>
          <w:szCs w:val="28"/>
        </w:rPr>
        <w:t>резистентны</w:t>
      </w:r>
      <w:proofErr w:type="spellEnd"/>
      <w:r w:rsidRPr="00FA27E9">
        <w:rPr>
          <w:rFonts w:ascii="Times New Roman" w:hAnsi="Times New Roman" w:cs="Times New Roman"/>
          <w:sz w:val="28"/>
          <w:szCs w:val="28"/>
        </w:rPr>
        <w:t xml:space="preserve"> к действию неблагоприятных воздействий и при внезапных существенных изменениях среды смертность среди них выше.</w:t>
      </w:r>
      <w:r>
        <w:rPr>
          <w:rFonts w:ascii="Times New Roman" w:hAnsi="Times New Roman" w:cs="Times New Roman"/>
          <w:sz w:val="28"/>
          <w:szCs w:val="28"/>
        </w:rPr>
        <w:t xml:space="preserve"> А темно-зеленая окраска является доминантной по отношению к другим.</w:t>
      </w:r>
    </w:p>
    <w:p w:rsidR="005367D2" w:rsidRDefault="005367D2" w:rsidP="00E42C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E42C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E42C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E42C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E42C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E42C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E42C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E42C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E42C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E42C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E42C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E42C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E42C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E42C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E42C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E42C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E42C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E42C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E42C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E42C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E42C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D2" w:rsidRDefault="005367D2" w:rsidP="00E42C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987" w:rsidRPr="00E42C06" w:rsidRDefault="00563987" w:rsidP="00E42C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Pr="00BB13E8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563987" w:rsidRPr="00917B7E" w:rsidRDefault="00563987" w:rsidP="0056398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17B7E">
        <w:rPr>
          <w:rFonts w:ascii="Times New Roman" w:hAnsi="Times New Roman" w:cs="Times New Roman"/>
          <w:sz w:val="28"/>
          <w:szCs w:val="28"/>
        </w:rPr>
        <w:t xml:space="preserve">Банников А.Г., Земноводные и пресмыкающиеся СССР//- М: Мысль, 1971 -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B7E">
        <w:rPr>
          <w:rFonts w:ascii="Times New Roman" w:hAnsi="Times New Roman" w:cs="Times New Roman"/>
          <w:sz w:val="28"/>
          <w:szCs w:val="28"/>
        </w:rPr>
        <w:t>.303.</w:t>
      </w:r>
    </w:p>
    <w:p w:rsidR="00563987" w:rsidRPr="00917B7E" w:rsidRDefault="00563987" w:rsidP="0056398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7B7E">
        <w:rPr>
          <w:rFonts w:ascii="Times New Roman" w:hAnsi="Times New Roman" w:cs="Times New Roman"/>
          <w:bCs/>
          <w:sz w:val="28"/>
          <w:szCs w:val="28"/>
        </w:rPr>
        <w:t>Белик</w:t>
      </w:r>
      <w:proofErr w:type="spellEnd"/>
      <w:r w:rsidRPr="00917B7E">
        <w:rPr>
          <w:rFonts w:ascii="Times New Roman" w:hAnsi="Times New Roman" w:cs="Times New Roman"/>
          <w:bCs/>
          <w:sz w:val="28"/>
          <w:szCs w:val="28"/>
        </w:rPr>
        <w:t xml:space="preserve"> В. П. К истории герпетологических исследований в Волгоградской области // Современная герпетология, 2014. Т. 14. Вып.1/2. С. 3-13.</w:t>
      </w:r>
    </w:p>
    <w:p w:rsidR="00563987" w:rsidRPr="00917B7E" w:rsidRDefault="00563987" w:rsidP="00563987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17B7E">
        <w:rPr>
          <w:sz w:val="28"/>
          <w:szCs w:val="28"/>
        </w:rPr>
        <w:t xml:space="preserve">Боголюбов А. С. Изучение видового состава и численности </w:t>
      </w:r>
      <w:proofErr w:type="gramStart"/>
      <w:r w:rsidRPr="00917B7E">
        <w:rPr>
          <w:sz w:val="28"/>
          <w:szCs w:val="28"/>
        </w:rPr>
        <w:t>амфибий  –</w:t>
      </w:r>
      <w:proofErr w:type="gramEnd"/>
      <w:r w:rsidRPr="00917B7E">
        <w:rPr>
          <w:sz w:val="28"/>
          <w:szCs w:val="28"/>
        </w:rPr>
        <w:t xml:space="preserve"> М: Просвещение,1977 - С.415. </w:t>
      </w:r>
    </w:p>
    <w:p w:rsidR="00563987" w:rsidRPr="00917B7E" w:rsidRDefault="00563987" w:rsidP="0056398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17B7E">
        <w:rPr>
          <w:rFonts w:ascii="Times New Roman" w:eastAsia="TimesNewRomanPSMT" w:hAnsi="Times New Roman" w:cs="Times New Roman"/>
          <w:sz w:val="28"/>
          <w:szCs w:val="28"/>
        </w:rPr>
        <w:t xml:space="preserve">Романов В.В., Мальцев И.В. Методы исследований экологии наземных позвоночных животных: количественные учеты. </w:t>
      </w:r>
      <w:proofErr w:type="spellStart"/>
      <w:r w:rsidRPr="00917B7E">
        <w:rPr>
          <w:rFonts w:ascii="Times New Roman" w:eastAsia="TimesNewRomanPSMT" w:hAnsi="Times New Roman" w:cs="Times New Roman"/>
          <w:sz w:val="28"/>
          <w:szCs w:val="28"/>
        </w:rPr>
        <w:t>Владим</w:t>
      </w:r>
      <w:proofErr w:type="spellEnd"/>
      <w:r w:rsidRPr="00917B7E">
        <w:rPr>
          <w:rFonts w:ascii="Times New Roman" w:eastAsia="TimesNewRomanPSMT" w:hAnsi="Times New Roman" w:cs="Times New Roman"/>
          <w:sz w:val="28"/>
          <w:szCs w:val="28"/>
        </w:rPr>
        <w:t xml:space="preserve">. гос. ун-т. – </w:t>
      </w:r>
      <w:proofErr w:type="gramStart"/>
      <w:r w:rsidRPr="00917B7E">
        <w:rPr>
          <w:rFonts w:ascii="Times New Roman" w:eastAsia="TimesNewRomanPSMT" w:hAnsi="Times New Roman" w:cs="Times New Roman"/>
          <w:sz w:val="28"/>
          <w:szCs w:val="28"/>
        </w:rPr>
        <w:t>Владимир :</w:t>
      </w:r>
      <w:proofErr w:type="gramEnd"/>
      <w:r w:rsidRPr="00917B7E">
        <w:rPr>
          <w:rFonts w:ascii="Times New Roman" w:eastAsia="TimesNewRomanPSMT" w:hAnsi="Times New Roman" w:cs="Times New Roman"/>
          <w:sz w:val="28"/>
          <w:szCs w:val="28"/>
        </w:rPr>
        <w:t xml:space="preserve"> Изд-во </w:t>
      </w:r>
      <w:proofErr w:type="spellStart"/>
      <w:r w:rsidRPr="00917B7E">
        <w:rPr>
          <w:rFonts w:ascii="Times New Roman" w:eastAsia="TimesNewRomanPSMT" w:hAnsi="Times New Roman" w:cs="Times New Roman"/>
          <w:sz w:val="28"/>
          <w:szCs w:val="28"/>
        </w:rPr>
        <w:t>Владим</w:t>
      </w:r>
      <w:proofErr w:type="spellEnd"/>
      <w:r w:rsidRPr="00917B7E">
        <w:rPr>
          <w:rFonts w:ascii="Times New Roman" w:eastAsia="TimesNewRomanPSMT" w:hAnsi="Times New Roman" w:cs="Times New Roman"/>
          <w:sz w:val="28"/>
          <w:szCs w:val="28"/>
        </w:rPr>
        <w:t>. гос. ун-та., 2005. С. 79.</w:t>
      </w:r>
    </w:p>
    <w:p w:rsidR="00563987" w:rsidRPr="00B75D2D" w:rsidRDefault="00563987" w:rsidP="005639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47014" w:rsidRDefault="009F5B16"/>
    <w:sectPr w:rsidR="00447014" w:rsidSect="007E45D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16" w:rsidRDefault="009F5B16" w:rsidP="007E45DE">
      <w:pPr>
        <w:spacing w:after="0"/>
      </w:pPr>
      <w:r>
        <w:separator/>
      </w:r>
    </w:p>
  </w:endnote>
  <w:endnote w:type="continuationSeparator" w:id="0">
    <w:p w:rsidR="009F5B16" w:rsidRDefault="009F5B16" w:rsidP="007E45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173503"/>
      <w:docPartObj>
        <w:docPartGallery w:val="Page Numbers (Bottom of Page)"/>
        <w:docPartUnique/>
      </w:docPartObj>
    </w:sdtPr>
    <w:sdtContent>
      <w:p w:rsidR="007E45DE" w:rsidRDefault="007E45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3F5">
          <w:rPr>
            <w:noProof/>
          </w:rPr>
          <w:t>2</w:t>
        </w:r>
        <w:r>
          <w:fldChar w:fldCharType="end"/>
        </w:r>
      </w:p>
    </w:sdtContent>
  </w:sdt>
  <w:p w:rsidR="007E45DE" w:rsidRDefault="007E45D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16" w:rsidRDefault="009F5B16" w:rsidP="007E45DE">
      <w:pPr>
        <w:spacing w:after="0"/>
      </w:pPr>
      <w:r>
        <w:separator/>
      </w:r>
    </w:p>
  </w:footnote>
  <w:footnote w:type="continuationSeparator" w:id="0">
    <w:p w:rsidR="009F5B16" w:rsidRDefault="009F5B16" w:rsidP="007E45D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A03B6"/>
    <w:multiLevelType w:val="hybridMultilevel"/>
    <w:tmpl w:val="CB38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C01A7"/>
    <w:multiLevelType w:val="hybridMultilevel"/>
    <w:tmpl w:val="9AF0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4648D"/>
    <w:multiLevelType w:val="hybridMultilevel"/>
    <w:tmpl w:val="571C4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87"/>
    <w:rsid w:val="00143EA6"/>
    <w:rsid w:val="002D0A00"/>
    <w:rsid w:val="005367D2"/>
    <w:rsid w:val="00563987"/>
    <w:rsid w:val="007E45DE"/>
    <w:rsid w:val="009F5B16"/>
    <w:rsid w:val="00A352AD"/>
    <w:rsid w:val="00D333F5"/>
    <w:rsid w:val="00E4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C37D"/>
  <w15:chartTrackingRefBased/>
  <w15:docId w15:val="{557D8C43-00B1-49D8-A5F8-C8CEC1C1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87"/>
    <w:pPr>
      <w:spacing w:after="216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9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3987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563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3987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9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63987"/>
    <w:rPr>
      <w:b/>
      <w:bCs/>
    </w:rPr>
  </w:style>
  <w:style w:type="paragraph" w:styleId="a9">
    <w:name w:val="header"/>
    <w:basedOn w:val="a"/>
    <w:link w:val="aa"/>
    <w:uiPriority w:val="99"/>
    <w:unhideWhenUsed/>
    <w:rsid w:val="00563987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563987"/>
  </w:style>
  <w:style w:type="paragraph" w:styleId="ab">
    <w:name w:val="footer"/>
    <w:basedOn w:val="a"/>
    <w:link w:val="ac"/>
    <w:uiPriority w:val="99"/>
    <w:unhideWhenUsed/>
    <w:rsid w:val="00563987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56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40 %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5DF-41C0-AA01-24A98D69417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DF-41C0-AA01-24A98D69417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самцы</c:v>
                </c:pt>
                <c:pt idx="1">
                  <c:v>самки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DF-41C0-AA01-24A98D6941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C68-4B08-A138-13B4AB30507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86 %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68-4B08-A138-13B4AB30507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отсутствие полоски</c:v>
                </c:pt>
                <c:pt idx="1">
                  <c:v>присутствие полоски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68-4B08-A138-13B4AB3050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7EB-4FF4-958C-745EB6D0CA0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54 %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EB-4FF4-958C-745EB6D0CA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самцы</c:v>
                </c:pt>
                <c:pt idx="1">
                  <c:v>самки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EB-4FF4-958C-745EB6D0CA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C15-473C-AAC6-13C20F19FDC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15-473C-AAC6-13C20F19FDC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отсутствие полоски</c:v>
                </c:pt>
                <c:pt idx="1">
                  <c:v>присутствие полоски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15-473C-AAC6-13C20F19FD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4852C-2C56-4475-BF5D-85FA0D1C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Школа-гимназия 37</dc:creator>
  <cp:keywords/>
  <dc:description/>
  <cp:lastModifiedBy>Школа-гимназия 37</cp:lastModifiedBy>
  <cp:revision>2</cp:revision>
  <dcterms:created xsi:type="dcterms:W3CDTF">2021-04-07T11:36:00Z</dcterms:created>
  <dcterms:modified xsi:type="dcterms:W3CDTF">2021-04-09T09:33:00Z</dcterms:modified>
</cp:coreProperties>
</file>