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55DD" w14:textId="35EE680A" w:rsidR="00690881" w:rsidRDefault="000F3ADA" w:rsidP="00690881">
      <w:pPr>
        <w:spacing w:line="360" w:lineRule="auto"/>
        <w:jc w:val="both"/>
        <w:rPr>
          <w:rFonts w:ascii="Times New Roman" w:eastAsia="sans-serif" w:hAnsi="Times New Roman"/>
          <w:b/>
          <w:bCs/>
          <w:sz w:val="28"/>
          <w:szCs w:val="28"/>
        </w:rPr>
      </w:pPr>
      <w:r>
        <w:rPr>
          <w:rFonts w:ascii="Times New Roman" w:eastAsia="sans-serif" w:hAnsi="Times New Roman"/>
          <w:b/>
          <w:bCs/>
          <w:sz w:val="28"/>
          <w:szCs w:val="28"/>
        </w:rPr>
        <w:t xml:space="preserve">УДК </w:t>
      </w:r>
      <w:r w:rsidR="00432A9C">
        <w:rPr>
          <w:rFonts w:ascii="Times New Roman" w:eastAsia="sans-serif" w:hAnsi="Times New Roman"/>
          <w:b/>
          <w:bCs/>
          <w:sz w:val="28"/>
          <w:szCs w:val="28"/>
        </w:rPr>
        <w:t>336.74(470)</w:t>
      </w:r>
    </w:p>
    <w:p w14:paraId="2A8EC233" w14:textId="77777777" w:rsidR="00690881" w:rsidRDefault="00690881" w:rsidP="00690881">
      <w:pPr>
        <w:ind w:firstLine="709"/>
        <w:contextualSpacing/>
        <w:jc w:val="right"/>
        <w:rPr>
          <w:rFonts w:ascii="Times New Roman" w:eastAsia="sans-serif" w:hAnsi="Times New Roman"/>
          <w:i/>
          <w:iCs/>
          <w:sz w:val="27"/>
          <w:szCs w:val="27"/>
        </w:rPr>
      </w:pPr>
    </w:p>
    <w:p w14:paraId="4248EFB5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b/>
          <w:bCs/>
          <w:sz w:val="28"/>
          <w:szCs w:val="28"/>
        </w:rPr>
      </w:pPr>
      <w:r w:rsidRPr="00FF324F">
        <w:rPr>
          <w:rFonts w:ascii="Times New Roman" w:eastAsia="sans-serif" w:hAnsi="Times New Roman"/>
          <w:b/>
          <w:bCs/>
          <w:sz w:val="28"/>
          <w:szCs w:val="28"/>
        </w:rPr>
        <w:t xml:space="preserve">Кочура Анжела Сергеевна </w:t>
      </w:r>
    </w:p>
    <w:p w14:paraId="0320C7A7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 xml:space="preserve">Студент </w:t>
      </w:r>
    </w:p>
    <w:p w14:paraId="1B97FD6E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>факультета филологии, истории и обществознания</w:t>
      </w:r>
    </w:p>
    <w:p w14:paraId="30E21B70" w14:textId="77777777" w:rsidR="00E925D2" w:rsidRPr="00FF324F" w:rsidRDefault="00E925D2" w:rsidP="00E925D2">
      <w:pPr>
        <w:ind w:firstLine="709"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 xml:space="preserve"> филиала ФГБОУ ВО «КубГУ» </w:t>
      </w:r>
    </w:p>
    <w:p w14:paraId="6D436430" w14:textId="77777777" w:rsidR="00E925D2" w:rsidRPr="004B3431" w:rsidRDefault="00E925D2" w:rsidP="00E925D2">
      <w:pPr>
        <w:ind w:firstLine="709"/>
        <w:jc w:val="right"/>
        <w:rPr>
          <w:rFonts w:ascii="Times New Roman" w:eastAsia="sans-serif" w:hAnsi="Times New Roman"/>
          <w:b/>
          <w:bCs/>
          <w:sz w:val="27"/>
          <w:szCs w:val="27"/>
        </w:rPr>
      </w:pPr>
      <w:r w:rsidRPr="00FF324F">
        <w:rPr>
          <w:rFonts w:ascii="Times New Roman" w:eastAsia="sans-serif" w:hAnsi="Times New Roman"/>
          <w:sz w:val="28"/>
          <w:szCs w:val="28"/>
        </w:rPr>
        <w:t>в г. Славянске-на-Кубани</w:t>
      </w:r>
    </w:p>
    <w:p w14:paraId="4D6770BC" w14:textId="77777777" w:rsidR="00E925D2" w:rsidRPr="00CC39EA" w:rsidRDefault="00E925D2" w:rsidP="00E925D2">
      <w:pPr>
        <w:ind w:firstLine="709"/>
        <w:jc w:val="right"/>
        <w:rPr>
          <w:rFonts w:ascii="Times New Roman" w:eastAsia="sans-serif" w:hAnsi="Times New Roman"/>
          <w:b/>
          <w:bCs/>
          <w:i/>
          <w:iCs/>
          <w:sz w:val="27"/>
          <w:szCs w:val="27"/>
        </w:rPr>
      </w:pPr>
    </w:p>
    <w:p w14:paraId="145CBA56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b/>
          <w:bCs/>
          <w:sz w:val="28"/>
          <w:szCs w:val="28"/>
        </w:rPr>
      </w:pPr>
      <w:r w:rsidRPr="005C5023">
        <w:rPr>
          <w:rFonts w:ascii="Times New Roman" w:eastAsia="sans-serif" w:hAnsi="Times New Roman"/>
          <w:b/>
          <w:bCs/>
          <w:i/>
          <w:iCs/>
          <w:sz w:val="28"/>
          <w:szCs w:val="28"/>
        </w:rPr>
        <w:t>Научный руководитель</w:t>
      </w:r>
      <w:r w:rsidRPr="00FF324F">
        <w:rPr>
          <w:rFonts w:ascii="Times New Roman" w:eastAsia="sans-serif" w:hAnsi="Times New Roman"/>
          <w:b/>
          <w:bCs/>
          <w:sz w:val="28"/>
          <w:szCs w:val="28"/>
        </w:rPr>
        <w:t>: Махова Анна Владимировна</w:t>
      </w:r>
      <w:r w:rsidRPr="00FF324F">
        <w:rPr>
          <w:rFonts w:ascii="Times New Roman" w:eastAsia="sans-serif" w:hAnsi="Times New Roman"/>
          <w:sz w:val="28"/>
          <w:szCs w:val="28"/>
        </w:rPr>
        <w:t>,</w:t>
      </w:r>
    </w:p>
    <w:p w14:paraId="44652725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 xml:space="preserve">канд. эконом. наук, доцент </w:t>
      </w:r>
    </w:p>
    <w:p w14:paraId="779B8F3A" w14:textId="77777777" w:rsidR="00E925D2" w:rsidRPr="00FF324F" w:rsidRDefault="00E925D2" w:rsidP="00E925D2">
      <w:pPr>
        <w:ind w:firstLine="709"/>
        <w:contextualSpacing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>кафедры истории, обществознания и педагогических технологий</w:t>
      </w:r>
    </w:p>
    <w:p w14:paraId="25D2ADA4" w14:textId="77777777" w:rsidR="00E925D2" w:rsidRPr="00FF324F" w:rsidRDefault="00E925D2" w:rsidP="00E925D2">
      <w:pPr>
        <w:ind w:firstLine="709"/>
        <w:jc w:val="right"/>
        <w:rPr>
          <w:rFonts w:ascii="Times New Roman" w:eastAsia="sans-serif" w:hAnsi="Times New Roman"/>
          <w:sz w:val="28"/>
          <w:szCs w:val="28"/>
        </w:rPr>
      </w:pPr>
      <w:r w:rsidRPr="00FF324F">
        <w:rPr>
          <w:rFonts w:ascii="Times New Roman" w:eastAsia="sans-serif" w:hAnsi="Times New Roman"/>
          <w:sz w:val="28"/>
          <w:szCs w:val="28"/>
        </w:rPr>
        <w:t>филиала ФГБОУ ВО «КубГУ» в г. Славянске-на-Кубани</w:t>
      </w:r>
    </w:p>
    <w:p w14:paraId="229A77D8" w14:textId="058B0B9B" w:rsidR="00690881" w:rsidRDefault="00690881" w:rsidP="00690881">
      <w:pPr>
        <w:spacing w:line="360" w:lineRule="auto"/>
        <w:jc w:val="right"/>
        <w:rPr>
          <w:rFonts w:ascii="Times New Roman" w:eastAsia="sans-serif" w:hAnsi="Times New Roman"/>
          <w:i/>
          <w:iCs/>
          <w:sz w:val="27"/>
          <w:szCs w:val="27"/>
        </w:rPr>
      </w:pPr>
    </w:p>
    <w:p w14:paraId="40DF8DD6" w14:textId="77777777" w:rsidR="00690881" w:rsidRDefault="00690881" w:rsidP="00690881">
      <w:pPr>
        <w:spacing w:line="360" w:lineRule="auto"/>
        <w:jc w:val="right"/>
        <w:rPr>
          <w:rFonts w:ascii="Times New Roman" w:eastAsia="sans-serif" w:hAnsi="Times New Roman"/>
          <w:i/>
          <w:iCs/>
          <w:sz w:val="27"/>
          <w:szCs w:val="27"/>
        </w:rPr>
      </w:pPr>
    </w:p>
    <w:p w14:paraId="3402F641" w14:textId="2320BA12" w:rsidR="00B25752" w:rsidRPr="004B439C" w:rsidRDefault="00690881" w:rsidP="0025604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39C">
        <w:rPr>
          <w:rFonts w:ascii="Times New Roman" w:hAnsi="Times New Roman"/>
          <w:b/>
          <w:bCs/>
          <w:sz w:val="28"/>
          <w:szCs w:val="28"/>
        </w:rPr>
        <w:t>С</w:t>
      </w:r>
      <w:r w:rsidRPr="00C27523">
        <w:rPr>
          <w:rFonts w:ascii="Times New Roman" w:hAnsi="Times New Roman"/>
          <w:b/>
          <w:bCs/>
          <w:sz w:val="28"/>
          <w:szCs w:val="28"/>
        </w:rPr>
        <w:t xml:space="preserve">РАВНИТЕЛЬНЫЙ </w:t>
      </w:r>
      <w:r w:rsidRPr="004B439C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r w:rsidR="00256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ДИНАМИКИ ДЕНЕЖНОЙ </w:t>
      </w:r>
      <w:r w:rsidR="00030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МАССЫ </w:t>
      </w:r>
      <w:r w:rsidR="00030239" w:rsidRPr="004B439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B4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2011</w:t>
      </w:r>
      <w:r w:rsidR="00630BA7" w:rsidRPr="004B4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B4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2019 гг. </w:t>
      </w:r>
      <w:r w:rsidR="0081573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B43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604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70406F66" w14:textId="77777777" w:rsidR="004B439C" w:rsidRPr="004B439C" w:rsidRDefault="004B439C" w:rsidP="004B439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B1873B" w14:textId="6A601BA0" w:rsidR="001D0F39" w:rsidRDefault="004B439C" w:rsidP="001D0F39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30239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030239">
        <w:rPr>
          <w:rFonts w:ascii="Times New Roman" w:hAnsi="Times New Roman" w:cs="Times New Roman"/>
          <w:sz w:val="28"/>
          <w:szCs w:val="28"/>
        </w:rPr>
        <w:t xml:space="preserve"> </w:t>
      </w:r>
      <w:r w:rsidR="006B737F" w:rsidRPr="006B737F">
        <w:rPr>
          <w:rFonts w:ascii="Times New Roman" w:hAnsi="Times New Roman" w:cs="Times New Roman"/>
          <w:sz w:val="28"/>
          <w:szCs w:val="28"/>
        </w:rPr>
        <w:t>Тема актуальна на сегодняшний день, у</w:t>
      </w:r>
      <w:r w:rsidR="00030239" w:rsidRPr="006B737F">
        <w:rPr>
          <w:rFonts w:ascii="Times New Roman" w:hAnsi="Times New Roman" w:cs="Times New Roman"/>
          <w:sz w:val="28"/>
          <w:szCs w:val="28"/>
        </w:rPr>
        <w:t xml:space="preserve">величение денежной массы в российской экономике является одним из главных факторов инфляции в России. </w:t>
      </w:r>
    </w:p>
    <w:p w14:paraId="68907D65" w14:textId="77777777" w:rsidR="006B737F" w:rsidRPr="006B737F" w:rsidRDefault="006B737F" w:rsidP="006B737F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B737F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проведение сравнительного анализа динамики денежной массы. </w:t>
      </w:r>
    </w:p>
    <w:p w14:paraId="5D6F7069" w14:textId="31CAF218" w:rsidR="006B737F" w:rsidRPr="006B737F" w:rsidRDefault="006B737F" w:rsidP="006B737F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поставленной цели необходимо решить следующие задачи: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из</w:t>
      </w: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принципы денежной массы, их структуру;</w:t>
      </w:r>
    </w:p>
    <w:p w14:paraId="6482CA7C" w14:textId="39BBBCFF" w:rsidR="006B737F" w:rsidRPr="006B737F" w:rsidRDefault="006B737F" w:rsidP="006B7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р</w:t>
      </w: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ассмотреть компоненты денежной массы; </w:t>
      </w:r>
    </w:p>
    <w:p w14:paraId="52D122D4" w14:textId="4D25B535" w:rsidR="006B737F" w:rsidRPr="006B737F" w:rsidRDefault="006B737F" w:rsidP="001D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</w:t>
      </w: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роанализировать влияние денежной массы на денежную базу; </w:t>
      </w:r>
    </w:p>
    <w:p w14:paraId="4EB64847" w14:textId="77777777" w:rsidR="001D0F39" w:rsidRDefault="006B737F" w:rsidP="001D0F39">
      <w:pPr>
        <w:spacing w:line="36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0F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роанализировать </w:t>
      </w:r>
      <w:r w:rsidRPr="006B737F">
        <w:rPr>
          <w:rFonts w:ascii="Times New Roman" w:hAnsi="Times New Roman" w:cs="Times New Roman"/>
          <w:sz w:val="28"/>
          <w:szCs w:val="28"/>
        </w:rPr>
        <w:t>динамику различных показателей денежной массы</w:t>
      </w:r>
      <w:r w:rsidRPr="006B73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737F">
        <w:rPr>
          <w:shd w:val="clear" w:color="auto" w:fill="FFFFFF"/>
        </w:rPr>
        <w:t xml:space="preserve"> </w:t>
      </w:r>
    </w:p>
    <w:p w14:paraId="62C894FF" w14:textId="4408EE7A" w:rsidR="001D0F39" w:rsidRPr="001D0F39" w:rsidRDefault="001D0F39" w:rsidP="001D0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F39">
        <w:rPr>
          <w:rFonts w:ascii="Times New Roman" w:hAnsi="Times New Roman" w:cs="Times New Roman"/>
          <w:sz w:val="28"/>
          <w:szCs w:val="28"/>
        </w:rPr>
        <w:t>Объект исследования: денежная масса.</w:t>
      </w:r>
    </w:p>
    <w:p w14:paraId="25B1911E" w14:textId="4D5245B3" w:rsidR="001D0F39" w:rsidRDefault="001D0F39" w:rsidP="001D0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F39">
        <w:rPr>
          <w:rFonts w:ascii="Times New Roman" w:hAnsi="Times New Roman" w:cs="Times New Roman"/>
          <w:sz w:val="28"/>
          <w:szCs w:val="28"/>
        </w:rPr>
        <w:t>Предмет исследования: деньги, как экономическая категория.</w:t>
      </w:r>
    </w:p>
    <w:p w14:paraId="6848B28D" w14:textId="11C4FA7E" w:rsidR="00FC234C" w:rsidRPr="00FC234C" w:rsidRDefault="00FC234C" w:rsidP="00FC2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34C">
        <w:rPr>
          <w:rFonts w:ascii="Times New Roman" w:hAnsi="Times New Roman" w:cs="Times New Roman"/>
          <w:sz w:val="28"/>
          <w:szCs w:val="28"/>
        </w:rPr>
        <w:t>Гипотеза исследования – деньги в современном мире благодаря своим функциям и роли являются самым важным звеном экономической системы.</w:t>
      </w:r>
    </w:p>
    <w:p w14:paraId="3068C965" w14:textId="4F6CA88B" w:rsidR="00E20044" w:rsidRPr="001D0F39" w:rsidRDefault="00030239" w:rsidP="001D0F39">
      <w:pPr>
        <w:spacing w:line="360" w:lineRule="auto"/>
        <w:jc w:val="both"/>
        <w:rPr>
          <w:color w:val="333333"/>
          <w:shd w:val="clear" w:color="auto" w:fill="FFFFFF"/>
        </w:rPr>
      </w:pPr>
      <w:r w:rsidRPr="006B737F">
        <w:rPr>
          <w:rFonts w:ascii="Times New Roman" w:hAnsi="Times New Roman" w:cs="Times New Roman"/>
          <w:sz w:val="28"/>
          <w:szCs w:val="28"/>
        </w:rPr>
        <w:t>Представленная в статье динамика различных показателей денежной массы</w:t>
      </w:r>
      <w:r w:rsidRPr="00030239">
        <w:rPr>
          <w:rFonts w:ascii="Times New Roman" w:hAnsi="Times New Roman" w:cs="Times New Roman"/>
          <w:sz w:val="28"/>
          <w:szCs w:val="28"/>
        </w:rPr>
        <w:t xml:space="preserve"> в стране позволяет выявить</w:t>
      </w:r>
      <w:r w:rsidR="001D0F39">
        <w:rPr>
          <w:rFonts w:ascii="Times New Roman" w:hAnsi="Times New Roman" w:cs="Times New Roman"/>
          <w:sz w:val="28"/>
          <w:szCs w:val="28"/>
        </w:rPr>
        <w:t xml:space="preserve"> такие результаты, как </w:t>
      </w:r>
      <w:r w:rsidRPr="00030239">
        <w:rPr>
          <w:rFonts w:ascii="Times New Roman" w:hAnsi="Times New Roman" w:cs="Times New Roman"/>
          <w:sz w:val="28"/>
          <w:szCs w:val="28"/>
        </w:rPr>
        <w:t>упадок или рост денежного эквивалента для проведения в последующем более эффективной социально-</w:t>
      </w:r>
      <w:r w:rsidRPr="00030239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на территории государства, учитывая как свой опыт, так и опыт реформ в сфере экономики.</w:t>
      </w:r>
      <w:r w:rsidR="001D0F39" w:rsidRPr="001D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F1B12" w14:textId="534683FC" w:rsidR="00E20044" w:rsidRDefault="004B439C" w:rsidP="00E2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439C">
        <w:rPr>
          <w:rFonts w:ascii="Times New Roman" w:hAnsi="Times New Roman"/>
          <w:b/>
          <w:bCs/>
          <w:color w:val="000000"/>
          <w:sz w:val="28"/>
          <w:szCs w:val="28"/>
        </w:rPr>
        <w:t>Ключевые</w:t>
      </w:r>
      <w:r w:rsidRPr="001E3D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439C">
        <w:rPr>
          <w:rFonts w:ascii="Times New Roman" w:hAnsi="Times New Roman"/>
          <w:b/>
          <w:bCs/>
          <w:color w:val="000000"/>
          <w:sz w:val="28"/>
          <w:szCs w:val="28"/>
        </w:rPr>
        <w:t>слова</w:t>
      </w:r>
      <w:r w:rsidRPr="001E3D6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1E3D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04C">
        <w:rPr>
          <w:rFonts w:ascii="Times New Roman" w:hAnsi="Times New Roman"/>
          <w:color w:val="000000"/>
          <w:sz w:val="28"/>
          <w:szCs w:val="28"/>
        </w:rPr>
        <w:t xml:space="preserve">экономика России, </w:t>
      </w:r>
      <w:r>
        <w:rPr>
          <w:rFonts w:ascii="Times New Roman" w:hAnsi="Times New Roman"/>
          <w:color w:val="000000"/>
          <w:sz w:val="28"/>
          <w:szCs w:val="28"/>
        </w:rPr>
        <w:t>денежн</w:t>
      </w:r>
      <w:r w:rsidR="0025604C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масс</w:t>
      </w:r>
      <w:r w:rsidR="0025604C">
        <w:rPr>
          <w:rFonts w:ascii="Times New Roman" w:hAnsi="Times New Roman"/>
          <w:color w:val="000000"/>
          <w:sz w:val="28"/>
          <w:szCs w:val="28"/>
        </w:rPr>
        <w:t>а</w:t>
      </w:r>
      <w:r w:rsidRPr="004B43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573A">
        <w:rPr>
          <w:rFonts w:ascii="Times New Roman" w:hAnsi="Times New Roman"/>
          <w:color w:val="000000"/>
          <w:sz w:val="28"/>
          <w:szCs w:val="28"/>
        </w:rPr>
        <w:t>наличные деньги</w:t>
      </w:r>
      <w:r w:rsidRPr="004B43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573A">
        <w:rPr>
          <w:rFonts w:ascii="Times New Roman" w:hAnsi="Times New Roman"/>
          <w:color w:val="000000"/>
          <w:sz w:val="28"/>
          <w:szCs w:val="28"/>
        </w:rPr>
        <w:t>переводные депозиты вне банковской системы</w:t>
      </w:r>
      <w:r w:rsidRPr="004B439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573A">
        <w:rPr>
          <w:rFonts w:ascii="Times New Roman" w:hAnsi="Times New Roman"/>
          <w:color w:val="000000"/>
          <w:sz w:val="28"/>
          <w:szCs w:val="28"/>
        </w:rPr>
        <w:t>д</w:t>
      </w:r>
      <w:r w:rsidR="0025604C">
        <w:rPr>
          <w:rFonts w:ascii="Times New Roman" w:hAnsi="Times New Roman"/>
          <w:color w:val="000000"/>
          <w:sz w:val="28"/>
          <w:szCs w:val="28"/>
        </w:rPr>
        <w:t>ругие депозиты, удельный вес МО</w:t>
      </w:r>
      <w:r w:rsidRPr="004B439C">
        <w:rPr>
          <w:rFonts w:ascii="Times New Roman" w:hAnsi="Times New Roman"/>
          <w:color w:val="000000"/>
          <w:sz w:val="28"/>
          <w:szCs w:val="28"/>
        </w:rPr>
        <w:t>.</w:t>
      </w:r>
    </w:p>
    <w:p w14:paraId="53424E03" w14:textId="77777777" w:rsidR="00E20044" w:rsidRPr="001E3D69" w:rsidRDefault="00E20044" w:rsidP="00FC234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AB85E6" w14:textId="72593F78" w:rsidR="0081573A" w:rsidRPr="00E925D2" w:rsidRDefault="0081573A" w:rsidP="00E925D2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8157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COMPARATIVE ANALYSIS OF MONEY SUPPLY DYNAMICS (M2) IN 2011-2019 IN RUSSIAN FEDERATION.</w:t>
      </w:r>
    </w:p>
    <w:p w14:paraId="07C44595" w14:textId="30B3EFA0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Kochura</w:t>
      </w:r>
      <w:proofErr w:type="spellEnd"/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zhera</w:t>
      </w:r>
      <w:proofErr w:type="spellEnd"/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ergeevna</w:t>
      </w:r>
      <w:proofErr w:type="spellEnd"/>
    </w:p>
    <w:p w14:paraId="0FAE1B88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>Student</w:t>
      </w:r>
    </w:p>
    <w:p w14:paraId="2562DEF0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>Faculty of Philology, History and Social Science</w:t>
      </w:r>
    </w:p>
    <w:p w14:paraId="64BD91A1" w14:textId="7DA6E7FB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 branch of the Federal State Budgetary Educational Institution of Higher Education "</w:t>
      </w: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KubSU</w:t>
      </w:r>
      <w:proofErr w:type="spellEnd"/>
      <w:r w:rsidRPr="00E925D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25D2">
        <w:rPr>
          <w:rFonts w:ascii="Times New Roman" w:hAnsi="Times New Roman" w:cs="Times New Roman"/>
          <w:sz w:val="28"/>
          <w:szCs w:val="28"/>
          <w:lang w:val="en-US"/>
        </w:rPr>
        <w:t>in the city of Slavyansk-on-Kuban</w:t>
      </w:r>
      <w:r w:rsidRPr="00E925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9CC5D7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788C1DA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Scientific adviser: </w:t>
      </w: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Makhova</w:t>
      </w:r>
      <w:proofErr w:type="spellEnd"/>
      <w:r w:rsidRPr="00E925D2">
        <w:rPr>
          <w:rFonts w:ascii="Times New Roman" w:hAnsi="Times New Roman" w:cs="Times New Roman"/>
          <w:sz w:val="28"/>
          <w:szCs w:val="28"/>
          <w:lang w:val="en-US"/>
        </w:rPr>
        <w:t xml:space="preserve"> Anna Vladimirovna,</w:t>
      </w:r>
    </w:p>
    <w:p w14:paraId="3481A568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>Cand. economy Sciences, Associate Professor</w:t>
      </w:r>
    </w:p>
    <w:p w14:paraId="6CB35F1F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>Department of History, Social Science and Pedagogical Technologies</w:t>
      </w:r>
    </w:p>
    <w:p w14:paraId="29BF0B76" w14:textId="5A46FD6B" w:rsidR="00E20044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25D2">
        <w:rPr>
          <w:rFonts w:ascii="Times New Roman" w:hAnsi="Times New Roman" w:cs="Times New Roman"/>
          <w:sz w:val="28"/>
          <w:szCs w:val="28"/>
          <w:lang w:val="en-US"/>
        </w:rPr>
        <w:t>branch of FSBEI HE "</w:t>
      </w:r>
      <w:proofErr w:type="spellStart"/>
      <w:r w:rsidRPr="00E925D2">
        <w:rPr>
          <w:rFonts w:ascii="Times New Roman" w:hAnsi="Times New Roman" w:cs="Times New Roman"/>
          <w:sz w:val="28"/>
          <w:szCs w:val="28"/>
          <w:lang w:val="en-US"/>
        </w:rPr>
        <w:t>KubSU</w:t>
      </w:r>
      <w:proofErr w:type="spellEnd"/>
      <w:r w:rsidRPr="00E925D2">
        <w:rPr>
          <w:rFonts w:ascii="Times New Roman" w:hAnsi="Times New Roman" w:cs="Times New Roman"/>
          <w:sz w:val="28"/>
          <w:szCs w:val="28"/>
          <w:lang w:val="en-US"/>
        </w:rPr>
        <w:t>" in Slavyansk-on-Kuban</w:t>
      </w:r>
      <w:r w:rsidRPr="00E925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74CD22" w14:textId="77777777" w:rsidR="00E925D2" w:rsidRPr="00E925D2" w:rsidRDefault="00E925D2" w:rsidP="00E925D2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4C3A09D" w14:textId="77777777" w:rsidR="00FC234C" w:rsidRPr="00FC234C" w:rsidRDefault="0081573A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E3D69">
        <w:rPr>
          <w:rFonts w:ascii="Times New Roman" w:hAnsi="Times New Roman"/>
          <w:b/>
          <w:bCs/>
          <w:sz w:val="28"/>
          <w:szCs w:val="28"/>
          <w:lang w:val="en-US"/>
        </w:rPr>
        <w:t>Resume:</w:t>
      </w:r>
      <w:r w:rsidR="001E3D69" w:rsidRPr="001E3D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FC234C" w:rsidRPr="00FC234C">
        <w:rPr>
          <w:rFonts w:ascii="Times New Roman" w:hAnsi="Times New Roman"/>
          <w:sz w:val="28"/>
          <w:szCs w:val="28"/>
          <w:lang w:val="en-US"/>
        </w:rPr>
        <w:t>The topic is relevant today, the increase in the money supply in the Russian economy is one of the main factors of inflation in Russia.</w:t>
      </w:r>
    </w:p>
    <w:p w14:paraId="3FF591CF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The purpose of this work is to conduct a comparative analysis of the dynamics of the money supply.</w:t>
      </w:r>
    </w:p>
    <w:p w14:paraId="4AE785D2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To achieve this goal, it is necessary to solve the following tasks: - to study the principles of the money supply, their structure;</w:t>
      </w:r>
    </w:p>
    <w:p w14:paraId="2F05980A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- consider the components of the money supply;</w:t>
      </w:r>
    </w:p>
    <w:p w14:paraId="04A68DCE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- analyze the impact of the money supply on the monetary base;</w:t>
      </w:r>
    </w:p>
    <w:p w14:paraId="049AC6F8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- analyze the dynamics of various indicators of the money supply.</w:t>
      </w:r>
    </w:p>
    <w:p w14:paraId="40CFD53C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Object of research: money supply.</w:t>
      </w:r>
    </w:p>
    <w:p w14:paraId="00344108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Subject of research: money as an economic category.</w:t>
      </w:r>
    </w:p>
    <w:p w14:paraId="6FAF8866" w14:textId="77777777" w:rsidR="00FC234C" w:rsidRPr="00FC234C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>The hypothesis of the study is that money in the modern world, due to its functions and role, is the most important link in the economic system.</w:t>
      </w:r>
    </w:p>
    <w:p w14:paraId="09090188" w14:textId="1DCC0101" w:rsidR="00E20044" w:rsidRDefault="00FC234C" w:rsidP="00FC23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C234C">
        <w:rPr>
          <w:rFonts w:ascii="Times New Roman" w:hAnsi="Times New Roman"/>
          <w:sz w:val="28"/>
          <w:szCs w:val="28"/>
          <w:lang w:val="en-US"/>
        </w:rPr>
        <w:t xml:space="preserve">The dynamics of various indicators of the money supply in the country presented in the article allows us to identify such results as the decline or growth of </w:t>
      </w:r>
      <w:r w:rsidRPr="00FC234C">
        <w:rPr>
          <w:rFonts w:ascii="Times New Roman" w:hAnsi="Times New Roman"/>
          <w:sz w:val="28"/>
          <w:szCs w:val="28"/>
          <w:lang w:val="en-US"/>
        </w:rPr>
        <w:lastRenderedPageBreak/>
        <w:t>the monetary equivalent for the subsequent implementation of a more effective socio-economic policy on the territory of the state, taking into account both our experience and the experience of economic reforms.</w:t>
      </w:r>
    </w:p>
    <w:p w14:paraId="364F5449" w14:textId="77777777" w:rsidR="005E5005" w:rsidRPr="00FC234C" w:rsidRDefault="005E5005" w:rsidP="00FC234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14:paraId="330D70A4" w14:textId="6A4919A5" w:rsidR="0081573A" w:rsidRDefault="0081573A" w:rsidP="008157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E3D69">
        <w:rPr>
          <w:rFonts w:ascii="Times New Roman" w:hAnsi="Times New Roman"/>
          <w:b/>
          <w:bCs/>
          <w:sz w:val="28"/>
          <w:szCs w:val="28"/>
          <w:lang w:val="en-US"/>
        </w:rPr>
        <w:t>Key words:</w:t>
      </w:r>
      <w:r w:rsidRPr="001E3D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E3D69" w:rsidRPr="001E3D69">
        <w:rPr>
          <w:rFonts w:ascii="Times New Roman" w:hAnsi="Times New Roman"/>
          <w:sz w:val="28"/>
          <w:szCs w:val="28"/>
          <w:lang w:val="en-US"/>
        </w:rPr>
        <w:t>Russian economy, money supply, cash, transferable deposits outside the banking system, other deposits, share of MO.</w:t>
      </w:r>
    </w:p>
    <w:p w14:paraId="1169CAF3" w14:textId="77777777" w:rsidR="001E3D69" w:rsidRPr="001E3D69" w:rsidRDefault="001E3D69" w:rsidP="00FC234C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F82E65F" w14:textId="77777777" w:rsidR="0081573A" w:rsidRPr="00CC5368" w:rsidRDefault="0081573A" w:rsidP="0081573A">
      <w:pPr>
        <w:spacing w:line="36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CC5368">
        <w:rPr>
          <w:rFonts w:ascii="Times New Roman" w:hAnsi="Times New Roman"/>
          <w:b/>
          <w:bCs/>
          <w:sz w:val="28"/>
          <w:szCs w:val="28"/>
        </w:rPr>
        <w:t>Введение</w:t>
      </w:r>
    </w:p>
    <w:p w14:paraId="292995E8" w14:textId="5F292356" w:rsidR="004B439C" w:rsidRDefault="0081573A" w:rsidP="00815688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CC5368">
        <w:rPr>
          <w:rFonts w:ascii="Times New Roman" w:hAnsi="Times New Roman"/>
          <w:sz w:val="28"/>
          <w:szCs w:val="28"/>
        </w:rPr>
        <w:t xml:space="preserve">Сравнительный анализ показателей денежной массы </w:t>
      </w:r>
      <w:r w:rsidR="0025604C">
        <w:rPr>
          <w:rFonts w:ascii="Times New Roman" w:hAnsi="Times New Roman"/>
          <w:sz w:val="28"/>
          <w:szCs w:val="28"/>
        </w:rPr>
        <w:t>в рамках экономических данных представляет</w:t>
      </w:r>
      <w:r w:rsidRPr="00CC5368">
        <w:rPr>
          <w:rFonts w:ascii="Times New Roman" w:hAnsi="Times New Roman"/>
          <w:sz w:val="28"/>
          <w:szCs w:val="28"/>
        </w:rPr>
        <w:t xml:space="preserve"> собой </w:t>
      </w:r>
      <w:r w:rsidR="0025604C">
        <w:rPr>
          <w:rFonts w:ascii="Times New Roman" w:hAnsi="Times New Roman"/>
          <w:sz w:val="28"/>
          <w:szCs w:val="28"/>
        </w:rPr>
        <w:t xml:space="preserve">совокупность </w:t>
      </w:r>
      <w:r w:rsidRPr="00CC5368">
        <w:rPr>
          <w:rFonts w:ascii="Times New Roman" w:hAnsi="Times New Roman"/>
          <w:sz w:val="28"/>
          <w:szCs w:val="28"/>
        </w:rPr>
        <w:t>динамик</w:t>
      </w:r>
      <w:r w:rsidR="0025604C">
        <w:rPr>
          <w:rFonts w:ascii="Times New Roman" w:hAnsi="Times New Roman"/>
          <w:sz w:val="28"/>
          <w:szCs w:val="28"/>
        </w:rPr>
        <w:t>и</w:t>
      </w:r>
      <w:r w:rsidRPr="00CC5368">
        <w:rPr>
          <w:rFonts w:ascii="Times New Roman" w:hAnsi="Times New Roman"/>
          <w:sz w:val="28"/>
          <w:szCs w:val="28"/>
        </w:rPr>
        <w:t xml:space="preserve"> </w:t>
      </w:r>
      <w:r w:rsidR="0025604C">
        <w:rPr>
          <w:rFonts w:ascii="Times New Roman" w:hAnsi="Times New Roman"/>
          <w:sz w:val="28"/>
          <w:szCs w:val="28"/>
        </w:rPr>
        <w:t>денежных доходов населения, общей</w:t>
      </w:r>
      <w:r w:rsidRPr="00CC5368">
        <w:rPr>
          <w:rFonts w:ascii="Times New Roman" w:hAnsi="Times New Roman"/>
          <w:sz w:val="28"/>
          <w:szCs w:val="28"/>
        </w:rPr>
        <w:t xml:space="preserve"> структур</w:t>
      </w:r>
      <w:r w:rsidR="0025604C">
        <w:rPr>
          <w:rFonts w:ascii="Times New Roman" w:hAnsi="Times New Roman"/>
          <w:sz w:val="28"/>
          <w:szCs w:val="28"/>
        </w:rPr>
        <w:t>ы</w:t>
      </w:r>
      <w:r w:rsidRPr="00CC5368">
        <w:rPr>
          <w:rFonts w:ascii="Times New Roman" w:hAnsi="Times New Roman"/>
          <w:sz w:val="28"/>
          <w:szCs w:val="28"/>
        </w:rPr>
        <w:t xml:space="preserve"> обеспеченности граждан, их благосостоянии и перспектив</w:t>
      </w:r>
      <w:r w:rsidR="0025604C">
        <w:rPr>
          <w:rFonts w:ascii="Times New Roman" w:hAnsi="Times New Roman"/>
          <w:sz w:val="28"/>
          <w:szCs w:val="28"/>
        </w:rPr>
        <w:t xml:space="preserve"> развития</w:t>
      </w:r>
      <w:r w:rsidRPr="00CC5368">
        <w:rPr>
          <w:rFonts w:ascii="Times New Roman" w:hAnsi="Times New Roman"/>
          <w:sz w:val="28"/>
          <w:szCs w:val="28"/>
        </w:rPr>
        <w:t xml:space="preserve">. </w:t>
      </w:r>
      <w:r w:rsidR="002E45CE" w:rsidRPr="00CC5368">
        <w:rPr>
          <w:rFonts w:ascii="Times New Roman" w:hAnsi="Times New Roman"/>
          <w:sz w:val="28"/>
          <w:szCs w:val="28"/>
        </w:rPr>
        <w:t>Денежная масса</w:t>
      </w:r>
      <w:r w:rsidR="0025604C">
        <w:rPr>
          <w:rFonts w:ascii="Times New Roman" w:hAnsi="Times New Roman"/>
          <w:sz w:val="28"/>
          <w:szCs w:val="28"/>
        </w:rPr>
        <w:t xml:space="preserve"> как экономическая категория</w:t>
      </w:r>
      <w:r w:rsidRPr="00CC5368">
        <w:rPr>
          <w:rFonts w:ascii="Times New Roman" w:hAnsi="Times New Roman"/>
          <w:sz w:val="28"/>
          <w:szCs w:val="28"/>
        </w:rPr>
        <w:t xml:space="preserve"> основывается на </w:t>
      </w:r>
      <w:r w:rsidR="002E45CE" w:rsidRPr="00CC5368">
        <w:rPr>
          <w:rFonts w:ascii="Times New Roman" w:hAnsi="Times New Roman"/>
          <w:sz w:val="28"/>
          <w:szCs w:val="28"/>
        </w:rPr>
        <w:t>двух факторах:</w:t>
      </w:r>
      <w:r w:rsidRPr="00CC5368">
        <w:rPr>
          <w:rFonts w:ascii="Times New Roman" w:hAnsi="Times New Roman"/>
          <w:sz w:val="28"/>
          <w:szCs w:val="28"/>
        </w:rPr>
        <w:t xml:space="preserve"> </w:t>
      </w:r>
      <w:r w:rsidR="002E45CE" w:rsidRPr="00CC5368">
        <w:rPr>
          <w:rFonts w:ascii="Times New Roman" w:hAnsi="Times New Roman"/>
          <w:sz w:val="28"/>
          <w:szCs w:val="28"/>
        </w:rPr>
        <w:t>количество денег и скорость их обращения</w:t>
      </w:r>
      <w:r w:rsidR="0025604C">
        <w:rPr>
          <w:rFonts w:ascii="Times New Roman" w:hAnsi="Times New Roman"/>
          <w:sz w:val="28"/>
          <w:szCs w:val="28"/>
        </w:rPr>
        <w:t>,</w:t>
      </w:r>
      <w:r w:rsidR="002E45CE" w:rsidRPr="00CC5368">
        <w:rPr>
          <w:rFonts w:ascii="Times New Roman" w:hAnsi="Times New Roman"/>
          <w:sz w:val="28"/>
          <w:szCs w:val="28"/>
        </w:rPr>
        <w:t xml:space="preserve"> </w:t>
      </w:r>
      <w:r w:rsidR="0025604C">
        <w:rPr>
          <w:rFonts w:ascii="Times New Roman" w:hAnsi="Times New Roman"/>
          <w:sz w:val="28"/>
          <w:szCs w:val="28"/>
        </w:rPr>
        <w:t>э</w:t>
      </w:r>
      <w:r w:rsidRPr="00CC5368">
        <w:rPr>
          <w:rFonts w:ascii="Times New Roman" w:hAnsi="Times New Roman"/>
          <w:sz w:val="28"/>
          <w:szCs w:val="28"/>
        </w:rPr>
        <w:t xml:space="preserve">тот показатель необходим для вычисления </w:t>
      </w:r>
      <w:r w:rsidR="002E45CE" w:rsidRPr="00CC5368">
        <w:rPr>
          <w:rFonts w:ascii="Times New Roman" w:hAnsi="Times New Roman"/>
          <w:sz w:val="28"/>
          <w:szCs w:val="28"/>
        </w:rPr>
        <w:t xml:space="preserve">уровня </w:t>
      </w:r>
      <w:r w:rsidR="00CC5368" w:rsidRPr="00CC5368">
        <w:rPr>
          <w:rFonts w:ascii="Times New Roman" w:hAnsi="Times New Roman"/>
          <w:sz w:val="28"/>
          <w:szCs w:val="28"/>
        </w:rPr>
        <w:t>средств</w:t>
      </w:r>
      <w:r w:rsidR="002E45CE" w:rsidRPr="00CC5368">
        <w:rPr>
          <w:rFonts w:ascii="Times New Roman" w:hAnsi="Times New Roman"/>
          <w:sz w:val="28"/>
          <w:szCs w:val="28"/>
        </w:rPr>
        <w:t xml:space="preserve"> нефинансовых и финансовый организаций, а также физических лиц</w:t>
      </w:r>
      <w:r w:rsidR="00CC5368" w:rsidRPr="00CC5368">
        <w:rPr>
          <w:rFonts w:ascii="Times New Roman" w:hAnsi="Times New Roman"/>
          <w:sz w:val="28"/>
          <w:szCs w:val="28"/>
        </w:rPr>
        <w:t>, которые являются резидентами РФ</w:t>
      </w:r>
      <w:r w:rsidRPr="00CC5368">
        <w:rPr>
          <w:rFonts w:ascii="Times New Roman" w:hAnsi="Times New Roman"/>
          <w:sz w:val="28"/>
          <w:szCs w:val="28"/>
        </w:rPr>
        <w:t xml:space="preserve">, </w:t>
      </w:r>
      <w:r w:rsidR="00CC5368" w:rsidRPr="00CC5368">
        <w:rPr>
          <w:rFonts w:ascii="Times New Roman" w:hAnsi="Times New Roman"/>
          <w:sz w:val="28"/>
          <w:szCs w:val="28"/>
        </w:rPr>
        <w:t xml:space="preserve">в </w:t>
      </w:r>
      <w:r w:rsidR="0025604C">
        <w:rPr>
          <w:rFonts w:ascii="Times New Roman" w:hAnsi="Times New Roman"/>
          <w:sz w:val="28"/>
          <w:szCs w:val="28"/>
        </w:rPr>
        <w:t>наличной и безналичной</w:t>
      </w:r>
      <w:r w:rsidR="00CC5368" w:rsidRPr="00CC5368">
        <w:rPr>
          <w:rFonts w:ascii="Times New Roman" w:hAnsi="Times New Roman"/>
          <w:sz w:val="28"/>
          <w:szCs w:val="28"/>
        </w:rPr>
        <w:t xml:space="preserve"> форме в рублях. </w:t>
      </w:r>
      <w:r w:rsidRPr="00CC5368">
        <w:rPr>
          <w:rFonts w:ascii="Times New Roman" w:hAnsi="Times New Roman"/>
          <w:sz w:val="28"/>
          <w:szCs w:val="28"/>
        </w:rPr>
        <w:t xml:space="preserve">Безусловно, показатель </w:t>
      </w:r>
      <w:r w:rsidR="00CC5368" w:rsidRPr="00CC5368">
        <w:rPr>
          <w:rFonts w:ascii="Times New Roman" w:hAnsi="Times New Roman"/>
          <w:sz w:val="28"/>
          <w:szCs w:val="28"/>
        </w:rPr>
        <w:t>денежной массы</w:t>
      </w:r>
      <w:r w:rsidRPr="00CC5368">
        <w:rPr>
          <w:rFonts w:ascii="Times New Roman" w:hAnsi="Times New Roman"/>
          <w:sz w:val="28"/>
          <w:szCs w:val="28"/>
        </w:rPr>
        <w:t xml:space="preserve"> представляет собой чрезвычайно важный механизм оценки состояния дел в экономике страны. </w:t>
      </w:r>
    </w:p>
    <w:p w14:paraId="435AAD8B" w14:textId="08C09859" w:rsidR="00875304" w:rsidRPr="00CC5368" w:rsidRDefault="00875304" w:rsidP="00815688">
      <w:pPr>
        <w:spacing w:line="36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</w:rPr>
        <w:t>Анализируя динамику обращения денежной массы в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а именно 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енежн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(М2) </w:t>
      </w:r>
      <w:r>
        <w:rPr>
          <w:rFonts w:ascii="Times New Roman" w:eastAsia="Times New Roman" w:hAnsi="Times New Roman" w:cs="Times New Roman"/>
          <w:sz w:val="28"/>
          <w:szCs w:val="28"/>
        </w:rPr>
        <w:t>в млрд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нужно сказать, что денежная масса М2 </w:t>
      </w:r>
      <w:r w:rsidRPr="00AC2C2E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Pr="00AC2C2E">
        <w:rPr>
          <w:rFonts w:ascii="Times New Roman" w:hAnsi="Times New Roman" w:cs="Times New Roman"/>
          <w:sz w:val="28"/>
          <w:szCs w:val="28"/>
        </w:rPr>
        <w:t xml:space="preserve"> наличных денег в обращении и остатков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AC2C2E">
        <w:rPr>
          <w:rFonts w:ascii="Times New Roman" w:hAnsi="Times New Roman" w:cs="Times New Roman"/>
          <w:sz w:val="28"/>
          <w:szCs w:val="28"/>
        </w:rPr>
        <w:t>средств (</w:t>
      </w:r>
      <w:r>
        <w:rPr>
          <w:rFonts w:ascii="Times New Roman" w:hAnsi="Times New Roman" w:cs="Times New Roman"/>
          <w:sz w:val="28"/>
          <w:szCs w:val="28"/>
        </w:rPr>
        <w:t>помимо</w:t>
      </w:r>
      <w:r w:rsidRPr="00AC2C2E">
        <w:rPr>
          <w:rFonts w:ascii="Times New Roman" w:hAnsi="Times New Roman" w:cs="Times New Roman"/>
          <w:sz w:val="28"/>
          <w:szCs w:val="28"/>
        </w:rPr>
        <w:t xml:space="preserve"> кредитных</w:t>
      </w:r>
      <w:r>
        <w:rPr>
          <w:rFonts w:ascii="Times New Roman" w:hAnsi="Times New Roman" w:cs="Times New Roman"/>
          <w:sz w:val="28"/>
          <w:szCs w:val="28"/>
        </w:rPr>
        <w:t>) также</w:t>
      </w:r>
      <w:r w:rsidRPr="00AC2C2E">
        <w:rPr>
          <w:rFonts w:ascii="Times New Roman" w:hAnsi="Times New Roman" w:cs="Times New Roman"/>
          <w:sz w:val="28"/>
          <w:szCs w:val="28"/>
        </w:rPr>
        <w:t xml:space="preserve"> нефинансовых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Pr="00AC2C2E">
        <w:rPr>
          <w:rFonts w:ascii="Times New Roman" w:hAnsi="Times New Roman" w:cs="Times New Roman"/>
          <w:sz w:val="28"/>
          <w:szCs w:val="28"/>
        </w:rPr>
        <w:t xml:space="preserve"> и физических лиц на расчетных, </w:t>
      </w:r>
      <w:r>
        <w:rPr>
          <w:rFonts w:ascii="Times New Roman" w:hAnsi="Times New Roman" w:cs="Times New Roman"/>
          <w:sz w:val="28"/>
          <w:szCs w:val="28"/>
        </w:rPr>
        <w:t>нынешних</w:t>
      </w:r>
      <w:r w:rsidRPr="00AC2C2E">
        <w:rPr>
          <w:rFonts w:ascii="Times New Roman" w:hAnsi="Times New Roman" w:cs="Times New Roman"/>
          <w:sz w:val="28"/>
          <w:szCs w:val="28"/>
        </w:rPr>
        <w:t xml:space="preserve"> и иных счетах до востребования (в том числе счетах для расчетов с использованием банковских карт), </w:t>
      </w:r>
      <w:r>
        <w:rPr>
          <w:rFonts w:ascii="Times New Roman" w:hAnsi="Times New Roman" w:cs="Times New Roman"/>
          <w:sz w:val="28"/>
          <w:szCs w:val="28"/>
        </w:rPr>
        <w:t>неотложных</w:t>
      </w:r>
      <w:r w:rsidRPr="00AC2C2E">
        <w:rPr>
          <w:rFonts w:ascii="Times New Roman" w:hAnsi="Times New Roman" w:cs="Times New Roman"/>
          <w:sz w:val="28"/>
          <w:szCs w:val="28"/>
        </w:rPr>
        <w:t xml:space="preserve"> депозитов и иных привлеченных на срок средств, открытых в банковской системе в </w:t>
      </w:r>
      <w:r>
        <w:rPr>
          <w:rFonts w:ascii="Times New Roman" w:hAnsi="Times New Roman" w:cs="Times New Roman"/>
          <w:sz w:val="28"/>
          <w:szCs w:val="28"/>
        </w:rPr>
        <w:t xml:space="preserve">денежной единице </w:t>
      </w:r>
      <w:r w:rsidRPr="00AC2C2E">
        <w:rPr>
          <w:rFonts w:ascii="Times New Roman" w:hAnsi="Times New Roman" w:cs="Times New Roman"/>
          <w:sz w:val="28"/>
          <w:szCs w:val="28"/>
        </w:rPr>
        <w:t xml:space="preserve">Российской Федерации, а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AC2C2E">
        <w:rPr>
          <w:rFonts w:ascii="Times New Roman" w:hAnsi="Times New Roman" w:cs="Times New Roman"/>
          <w:sz w:val="28"/>
          <w:szCs w:val="28"/>
        </w:rPr>
        <w:t xml:space="preserve"> начисленные проценты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2E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AC2C2E">
        <w:rPr>
          <w:rFonts w:ascii="Times New Roman" w:eastAsia="Times New Roman" w:hAnsi="Times New Roman" w:cs="Times New Roman"/>
          <w:sz w:val="28"/>
          <w:szCs w:val="28"/>
        </w:rPr>
        <w:t>период с 2011 по 2020 гг. можно сделать следующие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выводы: с 2011 по 2020 год денежное обращение в РФ увеличилось на 31 669,3 </w:t>
      </w:r>
      <w:r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р. – с 20 011,9 </w:t>
      </w:r>
      <w:r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р., до 51 681,2 </w:t>
      </w:r>
      <w:r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7E3B083F" w14:textId="36FC8EA0" w:rsidR="00A877A1" w:rsidRDefault="00A877A1" w:rsidP="001D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657787" wp14:editId="0DC45315">
            <wp:extent cx="6381750" cy="254317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9DD6584B-C6DE-4E55-8984-CE7B2CF7E6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9B85CC3" w14:textId="77777777" w:rsidR="00BE4E42" w:rsidRDefault="00EE1685" w:rsidP="00EE1685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инамика денежной массы (</w:t>
      </w:r>
      <w:r>
        <w:rPr>
          <w:rFonts w:ascii="Times New Roman" w:eastAsia="Times New Roman" w:hAnsi="Times New Roman" w:cs="Times New Roman"/>
          <w:sz w:val="28"/>
          <w:szCs w:val="28"/>
        </w:rPr>
        <w:t>М2) в 2011-2019 гг. в РФ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br/>
        <w:t>на начало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4C57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="00C52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р.)</w:t>
      </w:r>
    </w:p>
    <w:p w14:paraId="70CB72B0" w14:textId="77777777" w:rsidR="00E8579A" w:rsidRPr="00EE1685" w:rsidRDefault="00E8579A" w:rsidP="00E8579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B34F57F" w14:textId="11F86C84" w:rsidR="00D31AB7" w:rsidRDefault="00D31AB7" w:rsidP="001D0F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263D79" wp14:editId="6327103A">
            <wp:extent cx="6581775" cy="2562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9BAD377" w14:textId="77777777" w:rsidR="00986532" w:rsidRDefault="00986532" w:rsidP="009865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 –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инамика денежной массы (</w:t>
      </w:r>
      <w:r>
        <w:rPr>
          <w:rFonts w:ascii="Times New Roman" w:eastAsia="Times New Roman" w:hAnsi="Times New Roman" w:cs="Times New Roman"/>
          <w:sz w:val="28"/>
          <w:szCs w:val="28"/>
        </w:rPr>
        <w:t>М2) в 2011-2019 гг. в РФ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br/>
        <w:t>на начало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(%.)</w:t>
      </w:r>
    </w:p>
    <w:p w14:paraId="1F4F5D44" w14:textId="77777777" w:rsidR="00986532" w:rsidRDefault="00986532" w:rsidP="00EE168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B9B5CC" w14:textId="77777777" w:rsidR="00986532" w:rsidRPr="00EE1685" w:rsidRDefault="00986532" w:rsidP="006A14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6532" w:rsidRPr="00EE1685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736C0D6A" w14:textId="56CF5663" w:rsidR="00BE4E42" w:rsidRDefault="004E0449" w:rsidP="00611AA6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 Средний прирост в абсолютном выражении составил 6 333,86 </w:t>
      </w:r>
      <w:r w:rsidR="00944C57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="00C52D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руб. Самый большой темп роста наблюдался с 2011 года по 2012 год и составил 20%.  Самые наименьшие темпы роста наблюдались в периоды с 2016 гг. по 2017 гг. и с 2019 гг. по 2020 гг. и составили 9</w:t>
      </w:r>
      <w:r w:rsidR="00256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6B31E602" w14:textId="134CBC99" w:rsidR="00B84778" w:rsidRDefault="00B84778" w:rsidP="00611AA6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Выделяют ряд причин, которые оказывают значительное влияние на рост и увеличение денежной массы в стране. Во-пер</w:t>
      </w:r>
      <w:r w:rsidR="00875304">
        <w:rPr>
          <w:rFonts w:ascii="Times New Roman" w:eastAsia="Arial" w:hAnsi="Times New Roman" w:cs="Times New Roman"/>
          <w:color w:val="000000"/>
          <w:sz w:val="28"/>
          <w:szCs w:val="28"/>
        </w:rPr>
        <w:t>вых, количество товара на рынке: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5304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анный фактор оказывает влияние на объем денежной массы прямо пропорционально. Во-вторых, цены </w:t>
      </w:r>
      <w:r w:rsidRPr="00B502A1">
        <w:rPr>
          <w:rFonts w:ascii="Times New Roman" w:eastAsia="Arial" w:hAnsi="Times New Roman" w:cs="Times New Roman"/>
          <w:sz w:val="28"/>
          <w:szCs w:val="28"/>
        </w:rPr>
        <w:t>на товар</w:t>
      </w:r>
      <w:r w:rsidR="00B502A1" w:rsidRPr="00B502A1">
        <w:rPr>
          <w:rFonts w:ascii="Times New Roman" w:eastAsia="Arial" w:hAnsi="Times New Roman" w:cs="Times New Roman"/>
          <w:sz w:val="28"/>
          <w:szCs w:val="28"/>
        </w:rPr>
        <w:t>, т</w:t>
      </w:r>
      <w:r w:rsidRPr="00B502A1">
        <w:rPr>
          <w:rFonts w:ascii="Times New Roman" w:eastAsia="Arial" w:hAnsi="Times New Roman" w:cs="Times New Roman"/>
          <w:sz w:val="28"/>
          <w:szCs w:val="28"/>
        </w:rPr>
        <w:t xml:space="preserve">акой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же принцип наблюдается 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в этом случае, чем выше устанавливается цена на товар или услугу, которую возможный покупатель хочет получить, тем больше денежных средств ему нужно для совершения данной покупки. В-третьих, ускорение обращения </w:t>
      </w:r>
      <w:r w:rsidRPr="00B502A1">
        <w:rPr>
          <w:rFonts w:ascii="Times New Roman" w:eastAsia="Arial" w:hAnsi="Times New Roman" w:cs="Times New Roman"/>
          <w:sz w:val="28"/>
          <w:szCs w:val="28"/>
        </w:rPr>
        <w:t>денег</w:t>
      </w:r>
      <w:r w:rsidR="00B502A1">
        <w:rPr>
          <w:rFonts w:ascii="Times New Roman" w:eastAsia="Arial" w:hAnsi="Times New Roman" w:cs="Times New Roman"/>
          <w:sz w:val="28"/>
          <w:szCs w:val="28"/>
        </w:rPr>
        <w:t>, в</w:t>
      </w:r>
      <w:r w:rsidRPr="00B502A1">
        <w:rPr>
          <w:rFonts w:ascii="Times New Roman" w:eastAsia="Arial" w:hAnsi="Times New Roman" w:cs="Times New Roman"/>
          <w:sz w:val="28"/>
          <w:szCs w:val="28"/>
        </w:rPr>
        <w:t xml:space="preserve"> случае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если срок оборачиваемости денег станет уменьшаться, то, при прочих равных условиях, это скажется на размере денежной массы, т.е.  каждый денежный эквивалент будет применяться большее количество раз за отчетный период.</w:t>
      </w:r>
    </w:p>
    <w:p w14:paraId="5598F2C3" w14:textId="77777777" w:rsidR="00BE4E42" w:rsidRPr="00EE1685" w:rsidRDefault="00447CBC" w:rsidP="00E857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593354" wp14:editId="6ADCE6C8">
            <wp:extent cx="6334125" cy="27813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D84324A-DE07-473A-9408-966F1A1BE2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A5FEB3" w14:textId="77777777" w:rsidR="004453DB" w:rsidRDefault="004E0449" w:rsidP="00C1091D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857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 w:rsidR="00E8579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453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5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579A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="00E8579A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аличные деньги вне банковской системы (МО)</w:t>
      </w:r>
      <w:r w:rsidR="00E8579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(млрд. </w:t>
      </w:r>
      <w:r w:rsidR="00E8579A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рублей</w:t>
      </w:r>
      <w:r w:rsidR="00E8579A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986532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14:paraId="66290D64" w14:textId="77777777" w:rsidR="00E8579A" w:rsidRDefault="00986532" w:rsidP="009865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E79865" wp14:editId="4A4B0ADC">
            <wp:extent cx="6400800" cy="2524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F3928A" w14:textId="4BFB41FD" w:rsidR="004453DB" w:rsidRDefault="004453DB" w:rsidP="004453DB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 –</w:t>
      </w:r>
      <w:r w:rsidRPr="004453D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аличные деньги вне банковской системы (МО)</w:t>
      </w:r>
      <w:r w:rsidR="00BB3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(%)</w:t>
      </w:r>
    </w:p>
    <w:p w14:paraId="4E499079" w14:textId="77777777" w:rsidR="004453DB" w:rsidRPr="00EE1685" w:rsidRDefault="004453DB" w:rsidP="009865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3851B6" w14:textId="407C518E" w:rsidR="00BE4E42" w:rsidRPr="003B1F87" w:rsidRDefault="004E0449" w:rsidP="00611A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Рассмотрев раздел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«Наличные деньги вне банковской системы (МО),</w:t>
      </w:r>
      <w:r w:rsidR="006A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57" w:rsidRPr="00FD3440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Pr="00FD3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79A" w:rsidRPr="00FD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4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3440">
        <w:rPr>
          <w:rFonts w:ascii="Times New Roman" w:eastAsia="Times New Roman" w:hAnsi="Times New Roman" w:cs="Times New Roman"/>
          <w:sz w:val="28"/>
          <w:szCs w:val="28"/>
          <w:highlight w:val="white"/>
        </w:rPr>
        <w:t>» в период с 2011 по 2020 гг. необходимо отметить, что</w:t>
      </w:r>
      <w:r w:rsidR="00FD3440" w:rsidRPr="00FD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440" w:rsidRPr="00FD3440">
        <w:rPr>
          <w:rFonts w:ascii="Times New Roman" w:hAnsi="Times New Roman" w:cs="Times New Roman"/>
          <w:sz w:val="28"/>
          <w:szCs w:val="28"/>
        </w:rPr>
        <w:t xml:space="preserve">наличные </w:t>
      </w:r>
      <w:r w:rsidR="00FD3440" w:rsidRPr="00FD3440">
        <w:rPr>
          <w:rFonts w:ascii="Times New Roman" w:hAnsi="Times New Roman" w:cs="Times New Roman"/>
          <w:sz w:val="28"/>
          <w:szCs w:val="28"/>
        </w:rPr>
        <w:lastRenderedPageBreak/>
        <w:t xml:space="preserve">деньги в обращении (денежный агрегат МО) – </w:t>
      </w:r>
      <w:r w:rsidR="009F022A">
        <w:rPr>
          <w:rFonts w:ascii="Times New Roman" w:hAnsi="Times New Roman" w:cs="Times New Roman"/>
          <w:sz w:val="28"/>
          <w:szCs w:val="28"/>
        </w:rPr>
        <w:t>более быстро реализуемая доля</w:t>
      </w:r>
      <w:r w:rsidR="009F022A" w:rsidRPr="00FD3440">
        <w:rPr>
          <w:rFonts w:ascii="Times New Roman" w:hAnsi="Times New Roman" w:cs="Times New Roman"/>
          <w:sz w:val="28"/>
          <w:szCs w:val="28"/>
        </w:rPr>
        <w:t xml:space="preserve"> </w:t>
      </w:r>
      <w:r w:rsidR="00FD3440" w:rsidRPr="00FD3440">
        <w:rPr>
          <w:rFonts w:ascii="Times New Roman" w:hAnsi="Times New Roman" w:cs="Times New Roman"/>
          <w:sz w:val="28"/>
          <w:szCs w:val="28"/>
        </w:rPr>
        <w:t xml:space="preserve">денежной массы, доступная для </w:t>
      </w:r>
      <w:r w:rsidR="009F022A">
        <w:rPr>
          <w:rFonts w:ascii="Times New Roman" w:hAnsi="Times New Roman" w:cs="Times New Roman"/>
          <w:sz w:val="28"/>
          <w:szCs w:val="28"/>
        </w:rPr>
        <w:t>незамедлительного</w:t>
      </w:r>
      <w:r w:rsidR="00FD3440" w:rsidRPr="00FD3440">
        <w:rPr>
          <w:rFonts w:ascii="Times New Roman" w:hAnsi="Times New Roman" w:cs="Times New Roman"/>
          <w:sz w:val="28"/>
          <w:szCs w:val="28"/>
        </w:rPr>
        <w:t xml:space="preserve"> использования в качестве платежного средства. Включает </w:t>
      </w:r>
      <w:r w:rsidR="009F022A">
        <w:rPr>
          <w:rFonts w:ascii="Times New Roman" w:hAnsi="Times New Roman" w:cs="Times New Roman"/>
          <w:sz w:val="28"/>
          <w:szCs w:val="28"/>
        </w:rPr>
        <w:t>купюру</w:t>
      </w:r>
      <w:r w:rsidR="00FD3440" w:rsidRPr="00FD3440">
        <w:rPr>
          <w:rFonts w:ascii="Times New Roman" w:hAnsi="Times New Roman" w:cs="Times New Roman"/>
          <w:sz w:val="28"/>
          <w:szCs w:val="28"/>
        </w:rPr>
        <w:t xml:space="preserve"> и монету в обращении</w:t>
      </w:r>
      <w:r w:rsidR="00FD3440" w:rsidRPr="00FD344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FD34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период с 2011 по 2020 года данная статья выросла на 4 595,7 </w:t>
      </w:r>
      <w:r w:rsidR="00944C57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 – с 5 062,7 </w:t>
      </w:r>
      <w:r w:rsidR="00944C57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р., до 9 658,4 </w:t>
      </w:r>
      <w:r w:rsidR="00944C57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 </w:t>
      </w:r>
    </w:p>
    <w:p w14:paraId="46A3B890" w14:textId="501A68C8" w:rsidR="00C664EA" w:rsidRDefault="00C664EA" w:rsidP="00611A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87">
        <w:rPr>
          <w:rFonts w:ascii="Times New Roman" w:eastAsia="Times New Roman" w:hAnsi="Times New Roman" w:cs="Times New Roman"/>
          <w:sz w:val="28"/>
          <w:szCs w:val="28"/>
        </w:rPr>
        <w:t xml:space="preserve">  Средний прирост в абсолютном выражении составил </w:t>
      </w:r>
      <w:r w:rsidR="003B1F87">
        <w:rPr>
          <w:rFonts w:ascii="Times New Roman" w:eastAsia="Times New Roman" w:hAnsi="Times New Roman" w:cs="Times New Roman"/>
          <w:color w:val="000000"/>
          <w:sz w:val="28"/>
          <w:szCs w:val="28"/>
        </w:rPr>
        <w:t>919,1</w:t>
      </w:r>
      <w:r w:rsidRPr="003B1F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B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F87">
        <w:rPr>
          <w:rFonts w:ascii="Times New Roman" w:eastAsia="Times New Roman" w:hAnsi="Times New Roman" w:cs="Times New Roman"/>
          <w:sz w:val="28"/>
          <w:szCs w:val="28"/>
        </w:rPr>
        <w:t>млрд. руб. Самый большой темп роста наблюдался с 2011 года по 2012 год и составил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7 %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.  Самы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наименьши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 темп роста наблюдалс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B1F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B1F87">
        <w:rPr>
          <w:rFonts w:ascii="Times New Roman" w:eastAsia="Times New Roman" w:hAnsi="Times New Roman" w:cs="Times New Roman"/>
          <w:sz w:val="28"/>
          <w:szCs w:val="28"/>
        </w:rPr>
        <w:t>5 по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A6A">
        <w:rPr>
          <w:rFonts w:ascii="Times New Roman" w:eastAsia="Times New Roman" w:hAnsi="Times New Roman" w:cs="Times New Roman"/>
          <w:sz w:val="28"/>
          <w:szCs w:val="28"/>
        </w:rPr>
        <w:t xml:space="preserve">и составил </w:t>
      </w:r>
      <w:r w:rsidR="003B1F87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4 %</w:t>
      </w:r>
      <w:r w:rsidR="00EF2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159A3" w14:textId="35580F80" w:rsidR="00CD0686" w:rsidRDefault="00CD0686" w:rsidP="00CD06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Причинами роста наличных денег в </w:t>
      </w:r>
      <w:r w:rsidR="00B84778">
        <w:rPr>
          <w:rFonts w:ascii="Times New Roman" w:eastAsia="Times New Roman" w:hAnsi="Times New Roman" w:cs="Times New Roman"/>
          <w:sz w:val="28"/>
          <w:szCs w:val="28"/>
        </w:rPr>
        <w:t xml:space="preserve">денежном </w:t>
      </w:r>
      <w:r>
        <w:rPr>
          <w:rFonts w:ascii="Times New Roman" w:eastAsia="Times New Roman" w:hAnsi="Times New Roman" w:cs="Times New Roman"/>
          <w:sz w:val="28"/>
          <w:szCs w:val="28"/>
        </w:rPr>
        <w:t>обороте являются: складывающиеся направления в наличном денежном обороте и его структуре, скорость возвращения бумажных денег в кассы банков, происходящие тенденции и изменения в экономике, происходящие перемены в направлениях применения денежн</w:t>
      </w:r>
      <w:r w:rsidR="00B84778">
        <w:rPr>
          <w:rFonts w:ascii="Times New Roman" w:eastAsia="Times New Roman" w:hAnsi="Times New Roman" w:cs="Times New Roman"/>
          <w:sz w:val="28"/>
          <w:szCs w:val="28"/>
        </w:rPr>
        <w:t>ой прибыли населения и основах их формирования, перемена индекса цен потребителей. В настоящее время на рост наличных денег могли повлиять карантинные меры, которые потребовали от граждан накопления запасов наличных денег для расчетов в период изоляции.</w:t>
      </w:r>
    </w:p>
    <w:p w14:paraId="33BDF891" w14:textId="2EB42323" w:rsidR="003F6905" w:rsidRDefault="003F6905" w:rsidP="00611A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Проанализировав статью обращения денежной массы «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Переводные депозиты,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в период с 2011 по 2020 гг</w:t>
      </w:r>
      <w:r w:rsidRPr="00216A06">
        <w:rPr>
          <w:rFonts w:ascii="Times New Roman" w:eastAsia="Times New Roman" w:hAnsi="Times New Roman" w:cs="Times New Roman"/>
          <w:sz w:val="28"/>
          <w:szCs w:val="28"/>
        </w:rPr>
        <w:t xml:space="preserve">., нужно сказать что </w:t>
      </w:r>
      <w:r w:rsidRPr="00216A06">
        <w:rPr>
          <w:rFonts w:ascii="Times New Roman" w:hAnsi="Times New Roman" w:cs="Times New Roman"/>
          <w:sz w:val="28"/>
          <w:szCs w:val="28"/>
        </w:rPr>
        <w:t>переводные депозиты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216A06">
        <w:rPr>
          <w:rFonts w:ascii="Times New Roman" w:hAnsi="Times New Roman" w:cs="Times New Roman"/>
          <w:sz w:val="28"/>
          <w:szCs w:val="28"/>
        </w:rPr>
        <w:t xml:space="preserve"> остатки средств нефинансовых и финансовых (кроме кредитных)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Pr="00216A06">
        <w:rPr>
          <w:rFonts w:ascii="Times New Roman" w:hAnsi="Times New Roman" w:cs="Times New Roman"/>
          <w:sz w:val="28"/>
          <w:szCs w:val="28"/>
        </w:rPr>
        <w:t xml:space="preserve"> и физических лиц на расчетных, текущих и иных счетах до востребования (в том числе счетах для расчетов с использованием банковских карт), открытых в банковской системе в валюте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16A06">
        <w:rPr>
          <w:rFonts w:ascii="Times New Roman" w:hAnsi="Times New Roman" w:cs="Times New Roman"/>
          <w:sz w:val="28"/>
          <w:szCs w:val="28"/>
        </w:rPr>
        <w:t>, а также начисленные проценты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C02B2" w14:textId="77777777" w:rsidR="003F6905" w:rsidRPr="00C664EA" w:rsidRDefault="003F6905" w:rsidP="00611AA6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</w:rPr>
        <w:sectPr w:rsidR="003F6905" w:rsidRPr="00C664EA" w:rsidSect="00EE1685">
          <w:type w:val="continuous"/>
          <w:pgSz w:w="11906" w:h="16838"/>
          <w:pgMar w:top="1134" w:right="1133" w:bottom="1134" w:left="1134" w:header="709" w:footer="709" w:gutter="0"/>
          <w:cols w:space="720" w:equalWidth="0">
            <w:col w:w="9639" w:space="0"/>
          </w:cols>
        </w:sectPr>
      </w:pPr>
    </w:p>
    <w:p w14:paraId="3331B67A" w14:textId="77777777" w:rsidR="00F62B77" w:rsidRDefault="00E8579A" w:rsidP="00F62B77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D32ACB" wp14:editId="60563894">
            <wp:extent cx="6191885" cy="2867025"/>
            <wp:effectExtent l="0" t="0" r="18415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D9598154-9A81-4172-A81D-772A3364A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E0449" w:rsidRPr="00E857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 w:rsidR="004453D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453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ереводные депозиты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(млрд</w:t>
      </w:r>
      <w:r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р.)</w:t>
      </w:r>
    </w:p>
    <w:p w14:paraId="1532244A" w14:textId="77777777" w:rsidR="004453DB" w:rsidRPr="00F62B77" w:rsidRDefault="00C1091D" w:rsidP="00F62B77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A84585" wp14:editId="5F3942B5">
            <wp:extent cx="6029325" cy="2762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3C1374" w14:textId="3FB44804" w:rsidR="006239C2" w:rsidRPr="006239C2" w:rsidRDefault="00F62B77" w:rsidP="006239C2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857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55054648"/>
      <w:r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ереводные депозиты</w:t>
      </w:r>
      <w:bookmarkEnd w:id="0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(%)</w:t>
      </w:r>
    </w:p>
    <w:p w14:paraId="1BCDB88E" w14:textId="77777777" w:rsidR="003B1F87" w:rsidRDefault="003B1F87" w:rsidP="00216A0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   Средний прирост в абсолютном выражении составил </w:t>
      </w:r>
      <w:r w:rsidRPr="0061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1681,24 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 xml:space="preserve"> руб. Самые большие 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 роста наблюдал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>ись в периоды с 2011 по 2012 гг.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 xml:space="preserve">и с 2013 по 2014 гг. 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 и составил 1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7 %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.  Самый наименьший темп роста наблюдался </w:t>
      </w:r>
      <w:r w:rsidR="002A099F">
        <w:rPr>
          <w:rFonts w:ascii="Times New Roman" w:eastAsia="Times New Roman" w:hAnsi="Times New Roman" w:cs="Times New Roman"/>
          <w:sz w:val="28"/>
          <w:szCs w:val="28"/>
        </w:rPr>
        <w:t>с 2014 гг. по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AA6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2A099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 данный показатель составил 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5 %</w:t>
      </w:r>
      <w:r w:rsidR="002A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370933" w14:textId="7B652700" w:rsidR="00F80197" w:rsidRDefault="00B84778" w:rsidP="00F801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Депозит</w:t>
      </w:r>
      <w:r w:rsidR="00FA2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2430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концепция наиболее обширное </w:t>
      </w:r>
      <w:r w:rsidR="00FA2430">
        <w:rPr>
          <w:rFonts w:ascii="Times New Roman" w:eastAsia="Times New Roman" w:hAnsi="Times New Roman" w:cs="Times New Roman"/>
          <w:sz w:val="28"/>
          <w:szCs w:val="28"/>
        </w:rPr>
        <w:t xml:space="preserve">и предполагает оно любые деньги в банковском счете. Следовательно, это привлеченные банком средства – также вложения под проценты, и деньги на текущих счетах физических и юридических лиц. </w:t>
      </w:r>
      <w:r w:rsidR="00FA2430">
        <w:rPr>
          <w:rFonts w:ascii="custom-istokweb-regular" w:hAnsi="custom-istokweb-regular"/>
          <w:color w:val="000000"/>
          <w:sz w:val="27"/>
          <w:szCs w:val="27"/>
          <w:shd w:val="clear" w:color="auto" w:fill="FFFFFF"/>
        </w:rPr>
        <w:t xml:space="preserve">Деньги на текущих счетах обозначены как «депозиты до востребования» т. е. деньги, которые банк должен вернуть по требованию </w:t>
      </w:r>
      <w:r w:rsidR="00FA2430">
        <w:rPr>
          <w:rFonts w:ascii="custom-istokweb-regular" w:hAnsi="custom-istokweb-regular"/>
          <w:color w:val="000000"/>
          <w:sz w:val="27"/>
          <w:szCs w:val="27"/>
          <w:shd w:val="clear" w:color="auto" w:fill="FFFFFF"/>
        </w:rPr>
        <w:lastRenderedPageBreak/>
        <w:t>клиента</w:t>
      </w:r>
      <w:r w:rsidR="00FA2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197">
        <w:rPr>
          <w:rFonts w:ascii="Times New Roman" w:eastAsia="Times New Roman" w:hAnsi="Times New Roman" w:cs="Times New Roman"/>
          <w:sz w:val="28"/>
          <w:szCs w:val="28"/>
        </w:rPr>
        <w:t xml:space="preserve"> Из статистики очевидно,</w:t>
      </w:r>
      <w:r w:rsidR="00F80197" w:rsidRPr="00F80197">
        <w:t xml:space="preserve"> </w:t>
      </w:r>
      <w:r w:rsidR="00F80197" w:rsidRPr="00F80197">
        <w:rPr>
          <w:rFonts w:ascii="Times New Roman" w:eastAsia="Times New Roman" w:hAnsi="Times New Roman" w:cs="Times New Roman"/>
          <w:sz w:val="28"/>
          <w:szCs w:val="28"/>
        </w:rPr>
        <w:t>что срочные вклады физических лиц</w:t>
      </w:r>
      <w:r w:rsidR="00F80197">
        <w:rPr>
          <w:rFonts w:ascii="Times New Roman" w:eastAsia="Times New Roman" w:hAnsi="Times New Roman" w:cs="Times New Roman"/>
          <w:sz w:val="28"/>
          <w:szCs w:val="28"/>
        </w:rPr>
        <w:t xml:space="preserve"> уменьшились и это свидетельствует о низком доверии населения к банковской системе. </w:t>
      </w:r>
      <w:r w:rsidR="00F80197" w:rsidRPr="00F80197">
        <w:rPr>
          <w:rFonts w:ascii="Times New Roman" w:eastAsia="Times New Roman" w:hAnsi="Times New Roman" w:cs="Times New Roman"/>
          <w:sz w:val="28"/>
          <w:szCs w:val="28"/>
        </w:rPr>
        <w:t>Физические лица все реже доверяют свои деньги банкам на длительное время</w:t>
      </w:r>
      <w:r w:rsidR="00F80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239E7" w14:textId="2268E683" w:rsidR="00FA2430" w:rsidRPr="00FA2430" w:rsidRDefault="00FA2430" w:rsidP="00F801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2430" w:rsidRPr="00FA2430" w:rsidSect="00EE1685">
          <w:type w:val="continuous"/>
          <w:pgSz w:w="11906" w:h="16838"/>
          <w:pgMar w:top="1134" w:right="1133" w:bottom="1134" w:left="1134" w:header="709" w:footer="709" w:gutter="0"/>
          <w:cols w:space="720" w:equalWidth="0">
            <w:col w:w="9639" w:space="0"/>
          </w:cols>
        </w:sectPr>
      </w:pPr>
    </w:p>
    <w:p w14:paraId="3ABB70F9" w14:textId="77777777" w:rsidR="00BE4E42" w:rsidRPr="00EE1685" w:rsidRDefault="00B03FD5" w:rsidP="00B03F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396206" wp14:editId="1487B722">
            <wp:extent cx="6236970" cy="30099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4DB92C12-62F8-43B9-8CCD-4F04CB7A1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E9CDEF" w14:textId="77777777" w:rsidR="00BE4E42" w:rsidRDefault="004E0449" w:rsidP="00B03FD5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03F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 w:rsidR="00B03FD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453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3F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3FD5"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="00B03FD5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ругие депозиты</w:t>
      </w:r>
      <w:r w:rsidR="00B03F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(млрд</w:t>
      </w:r>
      <w:r w:rsidR="00B03FD5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B03FD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B03FD5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р</w:t>
      </w:r>
      <w:r w:rsidR="00B03FD5">
        <w:rPr>
          <w:rFonts w:ascii="Times New Roman" w:eastAsia="Arial" w:hAnsi="Times New Roman" w:cs="Times New Roman"/>
          <w:color w:val="000000"/>
          <w:sz w:val="28"/>
          <w:szCs w:val="28"/>
        </w:rPr>
        <w:t>.)</w:t>
      </w:r>
    </w:p>
    <w:p w14:paraId="7B8E1C9E" w14:textId="77777777" w:rsidR="00BE4E42" w:rsidRDefault="00F62B77" w:rsidP="00F62B77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529CB1" wp14:editId="3F37113C">
            <wp:extent cx="6267450" cy="2790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BE2DA1" w14:textId="05216AC4" w:rsidR="00F62B77" w:rsidRDefault="00F62B77" w:rsidP="006239C2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03F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3F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Д</w:t>
      </w:r>
      <w:r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ругие депозиты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(%)</w:t>
      </w:r>
    </w:p>
    <w:p w14:paraId="07D45698" w14:textId="77777777" w:rsidR="007E758A" w:rsidRPr="006239C2" w:rsidRDefault="007E758A" w:rsidP="006239C2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0FB19C9" w14:textId="4FB4B900" w:rsidR="00954237" w:rsidRDefault="004E0449" w:rsidP="00954237">
      <w:pPr>
        <w:pStyle w:val="a8"/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Детализируя раздел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 xml:space="preserve">«Другие депозиты, </w:t>
      </w:r>
      <w:r w:rsidR="00944C57">
        <w:rPr>
          <w:rFonts w:ascii="Times New Roman" w:eastAsia="Times New Roman" w:hAnsi="Times New Roman" w:cs="Times New Roman"/>
          <w:sz w:val="28"/>
          <w:szCs w:val="28"/>
        </w:rPr>
        <w:t>млрд</w:t>
      </w:r>
      <w:r w:rsidR="003B1F87" w:rsidRPr="00EE1685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>» в период с 2011 по 2020 гг. необходимо отметить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</w:t>
      </w:r>
      <w:r w:rsidR="00B8538B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8538B" w:rsidRPr="00B8538B">
        <w:rPr>
          <w:rFonts w:ascii="Times New Roman" w:hAnsi="Times New Roman" w:cs="Times New Roman"/>
          <w:sz w:val="28"/>
          <w:szCs w:val="28"/>
        </w:rPr>
        <w:t xml:space="preserve">другие депозиты </w:t>
      </w:r>
      <w:r w:rsidR="006239C2">
        <w:rPr>
          <w:rFonts w:ascii="Times New Roman" w:hAnsi="Times New Roman" w:cs="Times New Roman"/>
          <w:sz w:val="28"/>
          <w:szCs w:val="28"/>
        </w:rPr>
        <w:t>содержат</w:t>
      </w:r>
      <w:r w:rsidR="00B8538B" w:rsidRPr="00B8538B">
        <w:rPr>
          <w:rFonts w:ascii="Times New Roman" w:hAnsi="Times New Roman" w:cs="Times New Roman"/>
          <w:sz w:val="28"/>
          <w:szCs w:val="28"/>
        </w:rPr>
        <w:t xml:space="preserve"> остатки средств нефинансовых и финансовых (кроме кредитных) организаций и физических </w:t>
      </w:r>
      <w:r w:rsidR="00B8538B" w:rsidRPr="00B8538B">
        <w:rPr>
          <w:rFonts w:ascii="Times New Roman" w:hAnsi="Times New Roman" w:cs="Times New Roman"/>
          <w:sz w:val="28"/>
          <w:szCs w:val="28"/>
        </w:rPr>
        <w:lastRenderedPageBreak/>
        <w:t xml:space="preserve">лиц на срочных депозитах </w:t>
      </w:r>
      <w:r w:rsidR="006239C2">
        <w:rPr>
          <w:rFonts w:ascii="Times New Roman" w:hAnsi="Times New Roman" w:cs="Times New Roman"/>
          <w:sz w:val="28"/>
          <w:szCs w:val="28"/>
        </w:rPr>
        <w:t>а также</w:t>
      </w:r>
      <w:r w:rsidR="00B8538B" w:rsidRPr="00B8538B">
        <w:rPr>
          <w:rFonts w:ascii="Times New Roman" w:hAnsi="Times New Roman" w:cs="Times New Roman"/>
          <w:sz w:val="28"/>
          <w:szCs w:val="28"/>
        </w:rPr>
        <w:t xml:space="preserve"> привлеченных на срок </w:t>
      </w:r>
      <w:r w:rsidR="006239C2">
        <w:rPr>
          <w:rFonts w:ascii="Times New Roman" w:hAnsi="Times New Roman" w:cs="Times New Roman"/>
          <w:sz w:val="28"/>
          <w:szCs w:val="28"/>
        </w:rPr>
        <w:t>денег</w:t>
      </w:r>
      <w:r w:rsidR="00B8538B" w:rsidRPr="00B8538B">
        <w:rPr>
          <w:rFonts w:ascii="Times New Roman" w:hAnsi="Times New Roman" w:cs="Times New Roman"/>
          <w:sz w:val="28"/>
          <w:szCs w:val="28"/>
        </w:rPr>
        <w:t xml:space="preserve">, открытых в банковской системе в валюте Российской Федерации, а также начисленные проценты по ним. 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6049E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период с 2011 по 2020 года данная статья </w:t>
      </w:r>
      <w:r w:rsidR="006239C2">
        <w:rPr>
          <w:rFonts w:ascii="Times New Roman" w:eastAsia="Times New Roman" w:hAnsi="Times New Roman" w:cs="Times New Roman"/>
          <w:sz w:val="28"/>
          <w:szCs w:val="28"/>
          <w:highlight w:val="white"/>
        </w:rPr>
        <w:t>увеличилась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18 667,5 </w:t>
      </w:r>
      <w:r w:rsidR="00944C57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 – с 9 152 </w:t>
      </w:r>
      <w:r w:rsidR="00944C57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р., до 27 819,5 </w:t>
      </w:r>
      <w:r w:rsidR="00944C57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млрд</w:t>
      </w:r>
      <w:r w:rsidR="00C52D53"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B8538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 </w:t>
      </w:r>
      <w:r w:rsidR="00611AA6" w:rsidRPr="00EE1685">
        <w:rPr>
          <w:rFonts w:ascii="Times New Roman" w:eastAsia="Times New Roman" w:hAnsi="Times New Roman" w:cs="Times New Roman"/>
          <w:sz w:val="28"/>
          <w:szCs w:val="28"/>
        </w:rPr>
        <w:t xml:space="preserve">Средний прирост в абсолютном выражении 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611AA6" w:rsidRPr="0061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3733,5 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>млрд.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 xml:space="preserve"> руб. Самый большой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 xml:space="preserve"> темп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>роста наблюдал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11AA6" w:rsidRPr="00611AA6">
        <w:rPr>
          <w:rFonts w:ascii="Times New Roman" w:eastAsia="Times New Roman" w:hAnsi="Times New Roman" w:cs="Times New Roman"/>
          <w:sz w:val="28"/>
          <w:szCs w:val="28"/>
        </w:rPr>
        <w:t xml:space="preserve"> в периоды с 2011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 xml:space="preserve"> по 2012 гг.</w:t>
      </w:r>
      <w:r w:rsidR="00611AA6" w:rsidRPr="00EE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>и 2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5 %</w:t>
      </w:r>
      <w:r w:rsidR="00611AA6" w:rsidRPr="00EE1685">
        <w:rPr>
          <w:rFonts w:ascii="Times New Roman" w:eastAsia="Times New Roman" w:hAnsi="Times New Roman" w:cs="Times New Roman"/>
          <w:sz w:val="28"/>
          <w:szCs w:val="28"/>
        </w:rPr>
        <w:t>.  Самы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1AA6" w:rsidRPr="00EE1685">
        <w:rPr>
          <w:rFonts w:ascii="Times New Roman" w:eastAsia="Times New Roman" w:hAnsi="Times New Roman" w:cs="Times New Roman"/>
          <w:sz w:val="28"/>
          <w:szCs w:val="28"/>
        </w:rPr>
        <w:t xml:space="preserve"> наименьши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1AA6" w:rsidRPr="00EE1685">
        <w:rPr>
          <w:rFonts w:ascii="Times New Roman" w:eastAsia="Times New Roman" w:hAnsi="Times New Roman" w:cs="Times New Roman"/>
          <w:sz w:val="28"/>
          <w:szCs w:val="28"/>
        </w:rPr>
        <w:t xml:space="preserve"> темп роста наблюдалс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 xml:space="preserve">я с 2014 гг. по 2015 гг. и составил </w:t>
      </w:r>
      <w:r w:rsidR="00437C66">
        <w:rPr>
          <w:rFonts w:ascii="Times New Roman" w:eastAsia="Times New Roman" w:hAnsi="Times New Roman" w:cs="Times New Roman"/>
          <w:sz w:val="28"/>
          <w:szCs w:val="28"/>
        </w:rPr>
        <w:t>4 %</w:t>
      </w:r>
      <w:r w:rsidR="00611A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237" w:rsidRPr="00954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237">
        <w:rPr>
          <w:rFonts w:ascii="Times New Roman" w:eastAsia="Times New Roman" w:hAnsi="Times New Roman" w:cs="Times New Roman"/>
          <w:sz w:val="28"/>
          <w:szCs w:val="28"/>
        </w:rPr>
        <w:t>Причины невысоких темпов роста вкладов – длящиеся снижение реальных располагаемых доходов населения и невысокая мера сбережений. В обстоятельствах, когда общество должны тратиться на поддержание обычного уровня жизни все большую долю доходов, поэтому они не могут организовать для банков более высокое предложение своих свободных средств.</w:t>
      </w:r>
    </w:p>
    <w:p w14:paraId="0764F547" w14:textId="77777777" w:rsidR="00BE4E42" w:rsidRPr="00EE1685" w:rsidRDefault="00043202" w:rsidP="00043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49E287" wp14:editId="5578E173">
            <wp:extent cx="6248400" cy="31623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16644BDA-9EEC-40A4-BE32-98CC0138EA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19DB4F" w14:textId="18FB1904" w:rsidR="00D31AB7" w:rsidRDefault="004E0449" w:rsidP="00437C66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432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</w:t>
      </w:r>
      <w:r w:rsidR="00043202" w:rsidRPr="0004320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31A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53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32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3202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Удельный вес</w:t>
      </w:r>
      <w:r w:rsidR="0004320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43202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МО в М2</w:t>
      </w:r>
      <w:r w:rsidR="0004320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</w:t>
      </w:r>
      <w:r w:rsidR="00043202" w:rsidRPr="00EE1685">
        <w:rPr>
          <w:rFonts w:ascii="Times New Roman" w:eastAsia="Arial" w:hAnsi="Times New Roman" w:cs="Times New Roman"/>
          <w:color w:val="000000"/>
          <w:sz w:val="28"/>
          <w:szCs w:val="28"/>
        </w:rPr>
        <w:t>%</w:t>
      </w:r>
      <w:r w:rsidR="00043202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</w:p>
    <w:p w14:paraId="56FF2B75" w14:textId="632A132F" w:rsidR="00BE4E42" w:rsidRDefault="004E0449" w:rsidP="00E44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Рассмотрев раздел динамики денежной массы </w:t>
      </w:r>
      <w:r w:rsidRPr="00EE1685">
        <w:rPr>
          <w:rFonts w:ascii="Times New Roman" w:eastAsia="Times New Roman" w:hAnsi="Times New Roman" w:cs="Times New Roman"/>
          <w:sz w:val="28"/>
          <w:szCs w:val="28"/>
        </w:rPr>
        <w:t>«Удельный вес МО в М</w:t>
      </w:r>
      <w:r w:rsidR="00E4485C" w:rsidRPr="00EE16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6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85C" w:rsidRPr="00EE168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3E6F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период с 2011 по 2020 гг. необходимо отметить, что с 2011 по 2020 года данная статья уменьшалась на 6,6 % – с 25,3 %, до 18,</w:t>
      </w:r>
      <w:r w:rsidR="00437C66">
        <w:rPr>
          <w:rFonts w:ascii="Times New Roman" w:eastAsia="Times New Roman" w:hAnsi="Times New Roman" w:cs="Times New Roman"/>
          <w:sz w:val="28"/>
          <w:szCs w:val="28"/>
          <w:highlight w:val="white"/>
        </w:rPr>
        <w:t>7 %</w:t>
      </w:r>
      <w:r w:rsidRPr="00EE168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2A0E5EA9" w14:textId="2FD08858" w:rsidR="006B3C8F" w:rsidRPr="006B3C8F" w:rsidRDefault="006B3C8F" w:rsidP="006B3C8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C8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16330578" w14:textId="2B0DDA9C" w:rsidR="00BE4E42" w:rsidRDefault="006B3C8F" w:rsidP="00EE16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анализа динамики денежной массы в РФ за 2011-2019 гг.</w:t>
      </w:r>
      <w:r w:rsidRPr="009E74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формируется ряд выводов</w:t>
      </w:r>
      <w:r w:rsidR="00DD25F4">
        <w:rPr>
          <w:rFonts w:ascii="Times New Roman" w:hAnsi="Times New Roman"/>
          <w:sz w:val="28"/>
          <w:szCs w:val="28"/>
        </w:rPr>
        <w:t xml:space="preserve">: динамика денежной массы (М2) в абсолютном </w:t>
      </w:r>
      <w:r w:rsidR="00DD25F4">
        <w:rPr>
          <w:rFonts w:ascii="Times New Roman" w:hAnsi="Times New Roman"/>
          <w:sz w:val="28"/>
          <w:szCs w:val="28"/>
        </w:rPr>
        <w:lastRenderedPageBreak/>
        <w:t>выражении увеличилась, в процентном соотношении наблюдались колебания и в общем счете показатели снизились. Наличные деньги вне банковской системы (МО)</w:t>
      </w:r>
      <w:r w:rsidR="00DD25F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 весь период незначительно выросли,</w:t>
      </w:r>
      <w:r w:rsidR="00A939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 их доля значительно снизилась.  В абсолютном выражении переводные депозиты прогрессировали, в процентном выражении наблюдались незначительные уменьшения и увеличения данных, за исключением 2015 года - </w:t>
      </w:r>
      <w:r w:rsidR="00A93951">
        <w:rPr>
          <w:rFonts w:ascii="Times New Roman" w:hAnsi="Times New Roman"/>
          <w:sz w:val="28"/>
          <w:szCs w:val="28"/>
        </w:rPr>
        <w:t xml:space="preserve">произошел значительный спад. </w:t>
      </w:r>
      <w:r w:rsidR="00A939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D03FE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Сумма других депозитов выросла в абсолютном выражении значимо, а в процентном отношении снизилась. Удельный вес МО в М2 практически не изменился. </w:t>
      </w:r>
      <w:r w:rsidR="009F74A9">
        <w:rPr>
          <w:rFonts w:ascii="Times New Roman" w:eastAsia="Arial" w:hAnsi="Times New Roman" w:cs="Times New Roman"/>
          <w:color w:val="000000"/>
          <w:sz w:val="28"/>
          <w:szCs w:val="28"/>
        </w:rPr>
        <w:t>Выделяют ряд причин, которые оказывают з</w:t>
      </w:r>
      <w:r w:rsidR="00D03FE4">
        <w:rPr>
          <w:rFonts w:ascii="Times New Roman" w:eastAsia="Arial" w:hAnsi="Times New Roman" w:cs="Times New Roman"/>
          <w:color w:val="000000"/>
          <w:sz w:val="28"/>
          <w:szCs w:val="28"/>
        </w:rPr>
        <w:t>начительн</w:t>
      </w:r>
      <w:r w:rsidR="009F74A9">
        <w:rPr>
          <w:rFonts w:ascii="Times New Roman" w:eastAsia="Arial" w:hAnsi="Times New Roman" w:cs="Times New Roman"/>
          <w:color w:val="000000"/>
          <w:sz w:val="28"/>
          <w:szCs w:val="28"/>
        </w:rPr>
        <w:t>ое</w:t>
      </w:r>
      <w:r w:rsidR="00D03FE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влияние на рост и увеличение денежной массы в стране</w:t>
      </w:r>
      <w:r w:rsidR="009F74A9">
        <w:rPr>
          <w:rFonts w:ascii="Times New Roman" w:eastAsia="Arial" w:hAnsi="Times New Roman" w:cs="Times New Roman"/>
          <w:color w:val="000000"/>
          <w:sz w:val="28"/>
          <w:szCs w:val="28"/>
        </w:rPr>
        <w:t>. Во-первых</w:t>
      </w:r>
      <w:r w:rsidR="00D03FE4">
        <w:rPr>
          <w:rFonts w:ascii="Times New Roman" w:eastAsia="Arial" w:hAnsi="Times New Roman" w:cs="Times New Roman"/>
          <w:color w:val="000000"/>
          <w:sz w:val="28"/>
          <w:szCs w:val="28"/>
        </w:rPr>
        <w:t>, количество товара на рынке</w:t>
      </w:r>
      <w:r w:rsidR="00807AAA">
        <w:rPr>
          <w:rFonts w:ascii="Times New Roman" w:eastAsia="Arial" w:hAnsi="Times New Roman" w:cs="Times New Roman"/>
          <w:color w:val="000000"/>
          <w:sz w:val="28"/>
          <w:szCs w:val="28"/>
        </w:rPr>
        <w:t>: д</w:t>
      </w:r>
      <w:r w:rsidR="009F74A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анный фактор оказывает влияние на объем денежной массы прямо пропорционально. Следовательно, чем больше единиц продукции будет находится в реализации, тем большее количество </w:t>
      </w:r>
      <w:r w:rsidR="00D843C0">
        <w:rPr>
          <w:rFonts w:ascii="Times New Roman" w:eastAsia="Arial" w:hAnsi="Times New Roman" w:cs="Times New Roman"/>
          <w:color w:val="000000"/>
          <w:sz w:val="28"/>
          <w:szCs w:val="28"/>
        </w:rPr>
        <w:t>денег будет необходимо</w:t>
      </w:r>
      <w:r w:rsidR="00674B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населению для приобретения той или иной продукции. Во-вторых, цены на това</w:t>
      </w:r>
      <w:r w:rsidR="00807AAA">
        <w:rPr>
          <w:rFonts w:ascii="Times New Roman" w:eastAsia="Arial" w:hAnsi="Times New Roman" w:cs="Times New Roman"/>
          <w:color w:val="000000"/>
          <w:sz w:val="28"/>
          <w:szCs w:val="28"/>
        </w:rPr>
        <w:t>р. т</w:t>
      </w:r>
      <w:r w:rsidR="00674BB3">
        <w:rPr>
          <w:rFonts w:ascii="Times New Roman" w:eastAsia="Arial" w:hAnsi="Times New Roman" w:cs="Times New Roman"/>
          <w:color w:val="000000"/>
          <w:sz w:val="28"/>
          <w:szCs w:val="28"/>
        </w:rPr>
        <w:t>акой же прин</w:t>
      </w:r>
      <w:r w:rsidR="003F6905">
        <w:rPr>
          <w:rFonts w:ascii="Times New Roman" w:eastAsia="Arial" w:hAnsi="Times New Roman" w:cs="Times New Roman"/>
          <w:color w:val="000000"/>
          <w:sz w:val="28"/>
          <w:szCs w:val="28"/>
        </w:rPr>
        <w:t>цип наблюдается и в этом случае,</w:t>
      </w:r>
      <w:r w:rsidR="00674B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F6905">
        <w:rPr>
          <w:rFonts w:ascii="Times New Roman" w:eastAsia="Arial" w:hAnsi="Times New Roman" w:cs="Times New Roman"/>
          <w:color w:val="000000"/>
          <w:sz w:val="28"/>
          <w:szCs w:val="28"/>
        </w:rPr>
        <w:t>ч</w:t>
      </w:r>
      <w:r w:rsidR="00674B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ем выше устанавливается цена на товар или услугу, которую возможный покупатель хочет получить, тем больше денежных средств ему нужно для совершения данной покупки. По этой причине </w:t>
      </w:r>
      <w:r w:rsidR="00D947B8">
        <w:rPr>
          <w:rFonts w:ascii="Times New Roman" w:eastAsia="Arial" w:hAnsi="Times New Roman" w:cs="Times New Roman"/>
          <w:color w:val="000000"/>
          <w:sz w:val="28"/>
          <w:szCs w:val="28"/>
        </w:rPr>
        <w:t>жители могут обращаться в банки за кредитами, а банки выдавая определённые суммы в кредит тем самым увеличивают денежную массу, которая находится в обращении. В-третьих, ускорение обращения денег</w:t>
      </w:r>
      <w:r w:rsidR="00807AAA">
        <w:rPr>
          <w:rFonts w:ascii="Times New Roman" w:eastAsia="Arial" w:hAnsi="Times New Roman" w:cs="Times New Roman"/>
          <w:color w:val="000000"/>
          <w:sz w:val="28"/>
          <w:szCs w:val="28"/>
        </w:rPr>
        <w:t>, в</w:t>
      </w:r>
      <w:r w:rsidR="00D947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случае если срок оборачиваемости д</w:t>
      </w:r>
      <w:r w:rsidR="001C4A9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енег </w:t>
      </w:r>
      <w:r w:rsidR="00D947B8">
        <w:rPr>
          <w:rFonts w:ascii="Times New Roman" w:eastAsia="Arial" w:hAnsi="Times New Roman" w:cs="Times New Roman"/>
          <w:color w:val="000000"/>
          <w:sz w:val="28"/>
          <w:szCs w:val="28"/>
        </w:rPr>
        <w:t>станет уменьшаться, то, при прочих равных условиях</w:t>
      </w:r>
      <w:r w:rsidR="001C4A9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это скажется на размере денежной массы, т.е. </w:t>
      </w:r>
      <w:r w:rsidR="00D947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1C4A90">
        <w:rPr>
          <w:rFonts w:ascii="Times New Roman" w:eastAsia="Arial" w:hAnsi="Times New Roman" w:cs="Times New Roman"/>
          <w:color w:val="000000"/>
          <w:sz w:val="28"/>
          <w:szCs w:val="28"/>
        </w:rPr>
        <w:t>каждый денежный эквивалент будет применяться большее количество раз за отчетный период. В этом случае размер денежной массы станет сокращаться. Такому ускорению может поспособствовать замена наличных денег на безналичные.</w:t>
      </w:r>
      <w:r w:rsidR="00BA66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57AF3F52" w14:textId="79F45165" w:rsidR="00BA660D" w:rsidRDefault="00BA660D" w:rsidP="00EE16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Таким образом, исходя из расчетов российского денежного оборота, важно понимать, основную роль в нем занимают банкноты, несмотря на то что современная мировая экономика склонна к увеличению</w:t>
      </w:r>
      <w:r w:rsidR="007B165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доли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B165F">
        <w:rPr>
          <w:rFonts w:ascii="Times New Roman" w:eastAsia="Arial" w:hAnsi="Times New Roman" w:cs="Times New Roman"/>
          <w:color w:val="000000"/>
          <w:sz w:val="28"/>
          <w:szCs w:val="28"/>
        </w:rPr>
        <w:t>безналичных денег, т.е. использованию банковских карт.</w:t>
      </w:r>
    </w:p>
    <w:p w14:paraId="7E4C4BB0" w14:textId="5B8088EF" w:rsidR="000F3ADA" w:rsidRPr="002C7B22" w:rsidRDefault="000F3ADA" w:rsidP="002C7B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C7B22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Список </w:t>
      </w:r>
      <w:r w:rsidR="009E51D3" w:rsidRPr="002C7B2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использованной </w:t>
      </w:r>
      <w:r w:rsidRPr="002C7B2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литературы:</w:t>
      </w:r>
    </w:p>
    <w:p w14:paraId="64FBCBE0" w14:textId="44121CB4" w:rsidR="00880431" w:rsidRDefault="00880431" w:rsidP="00880431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46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 денежной массы</w:t>
      </w:r>
      <w:r w:rsidRPr="00805246">
        <w:rPr>
          <w:rFonts w:ascii="Times New Roman" w:hAnsi="Times New Roman" w:cs="Times New Roman"/>
          <w:sz w:val="28"/>
          <w:szCs w:val="28"/>
        </w:rPr>
        <w:t xml:space="preserve"> // Федеральная служба государственной статистики по Российской </w:t>
      </w:r>
      <w:proofErr w:type="gramStart"/>
      <w:r w:rsidRPr="00805246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805246">
        <w:rPr>
          <w:rFonts w:ascii="Times New Roman" w:hAnsi="Times New Roman" w:cs="Times New Roman"/>
          <w:sz w:val="28"/>
          <w:szCs w:val="28"/>
        </w:rPr>
        <w:t xml:space="preserve"> официальный сайт. – 2020. – URL: </w:t>
      </w:r>
      <w:r w:rsidRPr="009A647B">
        <w:rPr>
          <w:rFonts w:ascii="Times New Roman" w:hAnsi="Times New Roman" w:cs="Times New Roman"/>
          <w:sz w:val="28"/>
          <w:szCs w:val="28"/>
        </w:rPr>
        <w:t>https://rosstat.gov.ru/folder/13397</w:t>
      </w:r>
      <w:r w:rsidRPr="003D24DA">
        <w:rPr>
          <w:rFonts w:ascii="Times New Roman" w:hAnsi="Times New Roman" w:cs="Times New Roman"/>
          <w:sz w:val="28"/>
          <w:szCs w:val="28"/>
        </w:rPr>
        <w:t xml:space="preserve"> </w:t>
      </w:r>
      <w:r w:rsidR="002C7B22" w:rsidRPr="003D24D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C7B22" w:rsidRPr="003D2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C7B22" w:rsidRPr="003D24D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B22" w:rsidRPr="003D24DA">
        <w:rPr>
          <w:rFonts w:ascii="Times New Roman" w:hAnsi="Times New Roman" w:cs="Times New Roman"/>
          <w:sz w:val="28"/>
          <w:szCs w:val="28"/>
        </w:rPr>
        <w:t>)</w:t>
      </w:r>
    </w:p>
    <w:p w14:paraId="0EC71DDF" w14:textId="7E9CEB4C" w:rsidR="00880431" w:rsidRPr="00880431" w:rsidRDefault="00880431" w:rsidP="00880431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31">
        <w:rPr>
          <w:rFonts w:ascii="Times New Roman" w:hAnsi="Times New Roman" w:cs="Times New Roman"/>
          <w:sz w:val="28"/>
          <w:szCs w:val="28"/>
        </w:rPr>
        <w:t>Мурадов, Ф. Ф. Особенности динамики и структуры денежной массы в России / Ф. Ф. Мурадов, А. В. Бердышев // Вектор экономики. – 2019. – № 1. – С. 3–4.</w:t>
      </w:r>
    </w:p>
    <w:p w14:paraId="77051A3A" w14:textId="5DC667E8" w:rsidR="00880431" w:rsidRPr="00880431" w:rsidRDefault="00880431" w:rsidP="00880431">
      <w:pPr>
        <w:pStyle w:val="af"/>
        <w:numPr>
          <w:ilvl w:val="0"/>
          <w:numId w:val="1"/>
        </w:numPr>
        <w:spacing w:before="15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246">
        <w:rPr>
          <w:rFonts w:ascii="Times New Roman" w:eastAsia="Times New Roman" w:hAnsi="Times New Roman" w:cs="Times New Roman"/>
          <w:sz w:val="28"/>
          <w:szCs w:val="28"/>
        </w:rPr>
        <w:t xml:space="preserve">Никитина, И. В. Структура денежной массы в современной России / И. В. Никитина // </w:t>
      </w:r>
      <w:r w:rsidRPr="00805246">
        <w:rPr>
          <w:rFonts w:ascii="Times New Roman" w:hAnsi="Times New Roman" w:cs="Times New Roman"/>
          <w:sz w:val="28"/>
          <w:szCs w:val="28"/>
        </w:rPr>
        <w:t xml:space="preserve">Наука и образование сегодня. – 2019. – С. 120–123. –URL: </w:t>
      </w:r>
      <w:r w:rsidRPr="00880431">
        <w:rPr>
          <w:rFonts w:ascii="Times New Roman" w:hAnsi="Times New Roman" w:cs="Times New Roman"/>
          <w:sz w:val="28"/>
          <w:szCs w:val="28"/>
        </w:rPr>
        <w:t>https://cyberleninka.ru/article/n/struktura–denezhnoy–massy–v–sovremennoy–rossii</w:t>
      </w:r>
      <w:r w:rsidRPr="006A65E0">
        <w:rPr>
          <w:rFonts w:ascii="Times New Roman" w:hAnsi="Times New Roman" w:cs="Times New Roman"/>
          <w:sz w:val="28"/>
          <w:szCs w:val="28"/>
        </w:rPr>
        <w:t xml:space="preserve"> </w:t>
      </w:r>
      <w:r w:rsidR="002C7B22" w:rsidRPr="00437C66">
        <w:rPr>
          <w:rFonts w:ascii="Times New Roman" w:hAnsi="Times New Roman" w:cs="Times New Roman"/>
          <w:sz w:val="28"/>
          <w:szCs w:val="28"/>
        </w:rPr>
        <w:t>(дата обращения 04.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C7B22" w:rsidRPr="00437C6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B22" w:rsidRPr="00437C66">
        <w:rPr>
          <w:rFonts w:ascii="Times New Roman" w:hAnsi="Times New Roman" w:cs="Times New Roman"/>
          <w:sz w:val="28"/>
          <w:szCs w:val="28"/>
        </w:rPr>
        <w:t>)</w:t>
      </w:r>
    </w:p>
    <w:p w14:paraId="3291BC12" w14:textId="5689E28F" w:rsidR="00880431" w:rsidRPr="00880431" w:rsidRDefault="00880431" w:rsidP="00880431">
      <w:pPr>
        <w:pStyle w:val="af"/>
        <w:numPr>
          <w:ilvl w:val="0"/>
          <w:numId w:val="1"/>
        </w:numPr>
        <w:spacing w:before="15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431">
        <w:rPr>
          <w:rFonts w:ascii="Times New Roman" w:hAnsi="Times New Roman" w:cs="Times New Roman"/>
          <w:sz w:val="28"/>
          <w:szCs w:val="28"/>
        </w:rPr>
        <w:t xml:space="preserve"> Урюпина, А. А. Денежная сфера в Российской Федерации: анализ динамики основных показателей денежной массы и их влияние на темпы инфляции / А. А. Урюпина // Вестник МГИМО Университета. – 2020. – С. 1–21. – URL: https://cyberleninka.ru/article/n/denezhnaya–sfera–v–rossiyskoy–federatsii–analiz–dinamiki–osnovnyh–pokazateley–denezhnoy–massy–i–ih–vliyanie–na–tempy–inflyatsii (дата обращения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0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8043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431">
        <w:rPr>
          <w:rFonts w:ascii="Times New Roman" w:hAnsi="Times New Roman" w:cs="Times New Roman"/>
          <w:sz w:val="28"/>
          <w:szCs w:val="28"/>
        </w:rPr>
        <w:t>)</w:t>
      </w:r>
    </w:p>
    <w:p w14:paraId="4B90487A" w14:textId="1BE8DC6D" w:rsidR="002C7B22" w:rsidRDefault="002C7B22" w:rsidP="00880431">
      <w:pPr>
        <w:pStyle w:val="af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B22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ustom-istokweb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7EA"/>
    <w:multiLevelType w:val="hybridMultilevel"/>
    <w:tmpl w:val="05D079FA"/>
    <w:lvl w:ilvl="0" w:tplc="EFDA256A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860"/>
    <w:multiLevelType w:val="hybridMultilevel"/>
    <w:tmpl w:val="B2608E30"/>
    <w:lvl w:ilvl="0" w:tplc="3B104126">
      <w:start w:val="1"/>
      <w:numFmt w:val="decimal"/>
      <w:lvlText w:val="%1."/>
      <w:lvlJc w:val="left"/>
      <w:pPr>
        <w:ind w:left="810" w:hanging="450"/>
      </w:pPr>
      <w:rPr>
        <w:rFonts w:eastAsia="Arial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42"/>
    <w:rsid w:val="00030239"/>
    <w:rsid w:val="00043202"/>
    <w:rsid w:val="000F3ADA"/>
    <w:rsid w:val="00190DC2"/>
    <w:rsid w:val="001A4059"/>
    <w:rsid w:val="001C4A90"/>
    <w:rsid w:val="001D0F39"/>
    <w:rsid w:val="001E3D69"/>
    <w:rsid w:val="00216A06"/>
    <w:rsid w:val="0025604C"/>
    <w:rsid w:val="002A099F"/>
    <w:rsid w:val="002C7B22"/>
    <w:rsid w:val="002E45CE"/>
    <w:rsid w:val="003B1F87"/>
    <w:rsid w:val="003D24DA"/>
    <w:rsid w:val="003E6FA2"/>
    <w:rsid w:val="003F6905"/>
    <w:rsid w:val="00432A9C"/>
    <w:rsid w:val="00437C66"/>
    <w:rsid w:val="004453DB"/>
    <w:rsid w:val="00447CBC"/>
    <w:rsid w:val="004B439C"/>
    <w:rsid w:val="004E0449"/>
    <w:rsid w:val="00536E80"/>
    <w:rsid w:val="005A5F40"/>
    <w:rsid w:val="005E5005"/>
    <w:rsid w:val="00611AA6"/>
    <w:rsid w:val="006239C2"/>
    <w:rsid w:val="00630BA7"/>
    <w:rsid w:val="00674BB3"/>
    <w:rsid w:val="00690881"/>
    <w:rsid w:val="006A140E"/>
    <w:rsid w:val="006A685F"/>
    <w:rsid w:val="006B3C8F"/>
    <w:rsid w:val="006B737F"/>
    <w:rsid w:val="006D3988"/>
    <w:rsid w:val="007A3E61"/>
    <w:rsid w:val="007B165F"/>
    <w:rsid w:val="007E758A"/>
    <w:rsid w:val="00807AAA"/>
    <w:rsid w:val="00815688"/>
    <w:rsid w:val="0081573A"/>
    <w:rsid w:val="00875304"/>
    <w:rsid w:val="00880431"/>
    <w:rsid w:val="008F2A6A"/>
    <w:rsid w:val="00944C57"/>
    <w:rsid w:val="00954237"/>
    <w:rsid w:val="00981597"/>
    <w:rsid w:val="00986532"/>
    <w:rsid w:val="009C351D"/>
    <w:rsid w:val="009E51D3"/>
    <w:rsid w:val="009F022A"/>
    <w:rsid w:val="009F74A9"/>
    <w:rsid w:val="00A877A1"/>
    <w:rsid w:val="00A93951"/>
    <w:rsid w:val="00AC2C2E"/>
    <w:rsid w:val="00B004FC"/>
    <w:rsid w:val="00B03FD5"/>
    <w:rsid w:val="00B25752"/>
    <w:rsid w:val="00B502A1"/>
    <w:rsid w:val="00B82BA6"/>
    <w:rsid w:val="00B84778"/>
    <w:rsid w:val="00B8538B"/>
    <w:rsid w:val="00BA5998"/>
    <w:rsid w:val="00BA660D"/>
    <w:rsid w:val="00BA7336"/>
    <w:rsid w:val="00BB35B8"/>
    <w:rsid w:val="00BE4E42"/>
    <w:rsid w:val="00C1091D"/>
    <w:rsid w:val="00C27523"/>
    <w:rsid w:val="00C32E56"/>
    <w:rsid w:val="00C52D53"/>
    <w:rsid w:val="00C664EA"/>
    <w:rsid w:val="00CC5368"/>
    <w:rsid w:val="00CD0686"/>
    <w:rsid w:val="00CD300C"/>
    <w:rsid w:val="00D03FE4"/>
    <w:rsid w:val="00D31AB7"/>
    <w:rsid w:val="00D843C0"/>
    <w:rsid w:val="00D947B8"/>
    <w:rsid w:val="00DA06DE"/>
    <w:rsid w:val="00DD25F4"/>
    <w:rsid w:val="00E20044"/>
    <w:rsid w:val="00E4485C"/>
    <w:rsid w:val="00E6049E"/>
    <w:rsid w:val="00E62AB3"/>
    <w:rsid w:val="00E8579A"/>
    <w:rsid w:val="00E925D2"/>
    <w:rsid w:val="00EE1685"/>
    <w:rsid w:val="00EF2067"/>
    <w:rsid w:val="00F62B77"/>
    <w:rsid w:val="00F80197"/>
    <w:rsid w:val="00F80F3A"/>
    <w:rsid w:val="00FA2430"/>
    <w:rsid w:val="00FB2A3C"/>
    <w:rsid w:val="00FC234C"/>
    <w:rsid w:val="00FD3440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113"/>
  <w15:docId w15:val="{9ACEE628-6742-4FB0-8324-189BA4E1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1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16A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257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5752"/>
  </w:style>
  <w:style w:type="character" w:customStyle="1" w:styleId="ab">
    <w:name w:val="Текст примечания Знак"/>
    <w:basedOn w:val="a0"/>
    <w:link w:val="aa"/>
    <w:uiPriority w:val="99"/>
    <w:semiHidden/>
    <w:rsid w:val="00B257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57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5752"/>
    <w:rPr>
      <w:b/>
      <w:bCs/>
    </w:rPr>
  </w:style>
  <w:style w:type="character" w:styleId="ae">
    <w:name w:val="Hyperlink"/>
    <w:basedOn w:val="a0"/>
    <w:uiPriority w:val="99"/>
    <w:rsid w:val="000F3AD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F3AD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3D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hu\Desktop\1.2_c&#1090;&#1072;&#1090;&#110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2_c&#1090;&#1072;&#1090;&#110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hu\Desktop\1.2_c&#1090;&#1072;&#1090;&#110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2_c&#1090;&#1072;&#1090;&#110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hu\Desktop\1.2_c&#1090;&#1072;&#1090;&#110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2_c&#1090;&#1072;&#1090;&#110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hu\Desktop\1.2_c&#1090;&#1072;&#1090;&#110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2_c&#1090;&#1072;&#1090;&#110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chu\Desktop\1.2_c&#1090;&#1072;&#1090;&#110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66627308587335E-2"/>
          <c:y val="7.9710144927536225E-2"/>
          <c:w val="0.89378246341578527"/>
          <c:h val="0.791666666666666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Лист1!$B$2:$K$2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20011.900000000001</c:v>
                </c:pt>
                <c:pt idx="1">
                  <c:v>24204.799999999999</c:v>
                </c:pt>
                <c:pt idx="2">
                  <c:v>27164.6</c:v>
                </c:pt>
                <c:pt idx="3">
                  <c:v>31155.599999999999</c:v>
                </c:pt>
                <c:pt idx="4">
                  <c:v>31615.7</c:v>
                </c:pt>
                <c:pt idx="5">
                  <c:v>35179.699999999997</c:v>
                </c:pt>
                <c:pt idx="6">
                  <c:v>38418</c:v>
                </c:pt>
                <c:pt idx="7">
                  <c:v>42442.2</c:v>
                </c:pt>
                <c:pt idx="8">
                  <c:v>47109.3</c:v>
                </c:pt>
                <c:pt idx="9">
                  <c:v>51681.2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C-4C98-8F16-3F9CC62F7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06720"/>
        <c:axId val="27082752"/>
      </c:barChart>
      <c:catAx>
        <c:axId val="1010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82752"/>
        <c:crosses val="autoZero"/>
        <c:auto val="1"/>
        <c:lblAlgn val="ctr"/>
        <c:lblOffset val="100"/>
        <c:noMultiLvlLbl val="0"/>
      </c:catAx>
      <c:valAx>
        <c:axId val="270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0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47427211133504E-2"/>
          <c:y val="3.39943342776204E-2"/>
          <c:w val="0.89540735315062359"/>
          <c:h val="0.7663151416417775"/>
        </c:manualLayout>
      </c:layout>
      <c:barChart>
        <c:barDir val="col"/>
        <c:grouping val="clustered"/>
        <c:varyColors val="0"/>
        <c:ser>
          <c:idx val="0"/>
          <c:order val="0"/>
          <c:tx>
            <c:v>Динамика денежной массы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Лист1!$B$101:$K$101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Лист1!$B$102:$K$102</c:f>
              <c:numCache>
                <c:formatCode>General</c:formatCode>
                <c:ptCount val="10"/>
                <c:pt idx="0">
                  <c:v>0</c:v>
                </c:pt>
                <c:pt idx="1">
                  <c:v>20</c:v>
                </c:pt>
                <c:pt idx="2">
                  <c:v>12</c:v>
                </c:pt>
                <c:pt idx="3">
                  <c:v>14</c:v>
                </c:pt>
                <c:pt idx="4">
                  <c:v>1</c:v>
                </c:pt>
                <c:pt idx="5">
                  <c:v>11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6-4F65-9B52-B27C3BC9D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91328"/>
        <c:axId val="27092864"/>
      </c:barChart>
      <c:catAx>
        <c:axId val="2709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7092864"/>
        <c:crosses val="autoZero"/>
        <c:auto val="1"/>
        <c:lblAlgn val="ctr"/>
        <c:lblOffset val="100"/>
        <c:noMultiLvlLbl val="0"/>
      </c:catAx>
      <c:valAx>
        <c:axId val="27092864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7091328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solidFill>
        <a:schemeClr val="bg1">
          <a:alpha val="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64743105741913E-2"/>
          <c:y val="4.1904761904761903E-2"/>
          <c:w val="0.89372110164311658"/>
          <c:h val="0.799295693419488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Лист1!$B$4:$K$4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5062.7</c:v>
                </c:pt>
                <c:pt idx="1">
                  <c:v>5938.6</c:v>
                </c:pt>
                <c:pt idx="2">
                  <c:v>6430.1</c:v>
                </c:pt>
                <c:pt idx="3">
                  <c:v>6985.6</c:v>
                </c:pt>
                <c:pt idx="4">
                  <c:v>7171.5</c:v>
                </c:pt>
                <c:pt idx="5">
                  <c:v>7239.1</c:v>
                </c:pt>
                <c:pt idx="6">
                  <c:v>7714.8</c:v>
                </c:pt>
                <c:pt idx="7">
                  <c:v>8446</c:v>
                </c:pt>
                <c:pt idx="8">
                  <c:v>9339</c:v>
                </c:pt>
                <c:pt idx="9">
                  <c:v>9658.4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36-4DB8-86FF-654AB318B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99904"/>
        <c:axId val="27101440"/>
      </c:barChart>
      <c:catAx>
        <c:axId val="270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1440"/>
        <c:crosses val="autoZero"/>
        <c:auto val="1"/>
        <c:lblAlgn val="ctr"/>
        <c:lblOffset val="100"/>
        <c:noMultiLvlLbl val="0"/>
      </c:catAx>
      <c:valAx>
        <c:axId val="2710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034776902887142E-2"/>
          <c:y val="0.10260332843010009"/>
          <c:w val="0.90338188976377953"/>
          <c:h val="0.77239806562641222"/>
        </c:manualLayout>
      </c:layout>
      <c:barChart>
        <c:barDir val="col"/>
        <c:grouping val="clustered"/>
        <c:varyColors val="0"/>
        <c:ser>
          <c:idx val="0"/>
          <c:order val="0"/>
          <c:tx>
            <c:v>Наличные деньги вне банковской системы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Лист1!$B$101:$K$101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Лист1!$B$103:$K$103</c:f>
              <c:numCache>
                <c:formatCode>General</c:formatCode>
                <c:ptCount val="10"/>
                <c:pt idx="0">
                  <c:v>0</c:v>
                </c:pt>
                <c:pt idx="1">
                  <c:v>17</c:v>
                </c:pt>
                <c:pt idx="2">
                  <c:v>8</c:v>
                </c:pt>
                <c:pt idx="3">
                  <c:v>8</c:v>
                </c:pt>
                <c:pt idx="4">
                  <c:v>2</c:v>
                </c:pt>
                <c:pt idx="5">
                  <c:v>0.94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6-4E1E-B0B1-C0011AD60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65504"/>
        <c:axId val="96894976"/>
      </c:barChart>
      <c:catAx>
        <c:axId val="965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894976"/>
        <c:crosses val="autoZero"/>
        <c:auto val="1"/>
        <c:lblAlgn val="ctr"/>
        <c:lblOffset val="100"/>
        <c:noMultiLvlLbl val="0"/>
      </c:catAx>
      <c:valAx>
        <c:axId val="96894976"/>
        <c:scaling>
          <c:orientation val="minMax"/>
          <c:max val="18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56550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02050215421187E-2"/>
          <c:y val="0.1161635665107079"/>
          <c:w val="0.8792423116921706"/>
          <c:h val="0.770759161433934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Лист1!$B$6:$K$6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Лист1!$B$7:$K$7</c:f>
              <c:numCache>
                <c:formatCode>General</c:formatCode>
                <c:ptCount val="10"/>
                <c:pt idx="0">
                  <c:v>5797.1</c:v>
                </c:pt>
                <c:pt idx="1">
                  <c:v>6818.3</c:v>
                </c:pt>
                <c:pt idx="2">
                  <c:v>7264</c:v>
                </c:pt>
                <c:pt idx="3">
                  <c:v>8526.2999999999993</c:v>
                </c:pt>
                <c:pt idx="4">
                  <c:v>8170</c:v>
                </c:pt>
                <c:pt idx="5">
                  <c:v>9276.4</c:v>
                </c:pt>
                <c:pt idx="6">
                  <c:v>9927.6</c:v>
                </c:pt>
                <c:pt idx="7">
                  <c:v>11062.8</c:v>
                </c:pt>
                <c:pt idx="8">
                  <c:v>12285.1</c:v>
                </c:pt>
                <c:pt idx="9">
                  <c:v>14203.3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1-4048-8E49-42B205193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52384"/>
        <c:axId val="100820096"/>
      </c:barChart>
      <c:catAx>
        <c:axId val="971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ln>
                  <a:noFill/>
                </a:ln>
                <a:solidFill>
                  <a:schemeClr val="tx1"/>
                </a:solidFill>
                <a:effectLst>
                  <a:glow rad="127000">
                    <a:schemeClr val="bg1"/>
                  </a:glow>
                  <a:outerShdw blurRad="50800" dist="50800" dir="5400000" algn="ctr" rotWithShape="0">
                    <a:schemeClr val="bg1"/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0096"/>
        <c:crosses val="autoZero"/>
        <c:auto val="1"/>
        <c:lblAlgn val="ctr"/>
        <c:lblOffset val="100"/>
        <c:noMultiLvlLbl val="0"/>
      </c:catAx>
      <c:valAx>
        <c:axId val="10082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52384"/>
        <c:crosses val="autoZero"/>
        <c:crossBetween val="between"/>
      </c:valAx>
      <c:spPr>
        <a:noFill/>
        <a:ln>
          <a:noFill/>
        </a:ln>
        <a:effectLst>
          <a:glow rad="127000">
            <a:schemeClr val="tx1"/>
          </a:glo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3331701412971E-2"/>
          <c:y val="4.7008547008547008E-2"/>
          <c:w val="0.90190744291678571"/>
          <c:h val="0.84943720977185555"/>
        </c:manualLayout>
      </c:layout>
      <c:barChart>
        <c:barDir val="col"/>
        <c:grouping val="clustered"/>
        <c:varyColors val="0"/>
        <c:ser>
          <c:idx val="0"/>
          <c:order val="0"/>
          <c:tx>
            <c:v>Переводные депозиты </c:v>
          </c:tx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D87-400F-B41D-8D55AAC80A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Лист1!$B$101:$K$101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Лист1!$B$104:$K$104</c:f>
              <c:numCache>
                <c:formatCode>General</c:formatCode>
                <c:ptCount val="10"/>
                <c:pt idx="0">
                  <c:v>0</c:v>
                </c:pt>
                <c:pt idx="1">
                  <c:v>17</c:v>
                </c:pt>
                <c:pt idx="2">
                  <c:v>6</c:v>
                </c:pt>
                <c:pt idx="3">
                  <c:v>17</c:v>
                </c:pt>
                <c:pt idx="4">
                  <c:v>-5</c:v>
                </c:pt>
                <c:pt idx="5">
                  <c:v>13</c:v>
                </c:pt>
                <c:pt idx="6">
                  <c:v>7</c:v>
                </c:pt>
                <c:pt idx="7">
                  <c:v>11</c:v>
                </c:pt>
                <c:pt idx="8">
                  <c:v>11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2-4DF6-95E6-90934C27D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68064"/>
        <c:axId val="111369600"/>
      </c:barChart>
      <c:catAx>
        <c:axId val="1113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369600"/>
        <c:crosses val="autoZero"/>
        <c:auto val="1"/>
        <c:lblAlgn val="ctr"/>
        <c:lblOffset val="100"/>
        <c:noMultiLvlLbl val="0"/>
      </c:catAx>
      <c:valAx>
        <c:axId val="111369600"/>
        <c:scaling>
          <c:orientation val="minMax"/>
          <c:min val="-5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368064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045938973572099E-2"/>
          <c:y val="8.2397003745318345E-2"/>
          <c:w val="0.89355536422333282"/>
          <c:h val="0.784644194756554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Лист1!$B$8:$K$8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Лист1!$B$9:$K$9</c:f>
              <c:numCache>
                <c:formatCode>General</c:formatCode>
                <c:ptCount val="10"/>
                <c:pt idx="0">
                  <c:v>9152</c:v>
                </c:pt>
                <c:pt idx="1">
                  <c:v>11447.9</c:v>
                </c:pt>
                <c:pt idx="2">
                  <c:v>13470.6</c:v>
                </c:pt>
                <c:pt idx="3">
                  <c:v>15643.7</c:v>
                </c:pt>
                <c:pt idx="4">
                  <c:v>16274.3</c:v>
                </c:pt>
                <c:pt idx="5">
                  <c:v>18664.099999999999</c:v>
                </c:pt>
                <c:pt idx="6">
                  <c:v>20775.599999999999</c:v>
                </c:pt>
                <c:pt idx="7">
                  <c:v>22933.3</c:v>
                </c:pt>
                <c:pt idx="8">
                  <c:v>25485.200000000001</c:v>
                </c:pt>
                <c:pt idx="9">
                  <c:v>27819.5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E-4C76-9238-6EB3623EF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37632"/>
        <c:axId val="29639424"/>
      </c:barChart>
      <c:catAx>
        <c:axId val="2963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9424"/>
        <c:crosses val="autoZero"/>
        <c:auto val="1"/>
        <c:lblAlgn val="ctr"/>
        <c:lblOffset val="100"/>
        <c:noMultiLvlLbl val="0"/>
      </c:catAx>
      <c:valAx>
        <c:axId val="2963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>
              <a:glow rad="127000">
                <a:schemeClr val="bg1"/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effectLst>
                  <a:glow rad="127000">
                    <a:schemeClr val="bg1"/>
                  </a:glo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3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Другие депозиты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Лист1!$B$101:$K$101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Лист1!$B$105:$K$105</c:f>
              <c:numCache>
                <c:formatCode>General</c:formatCode>
                <c:ptCount val="10"/>
                <c:pt idx="0">
                  <c:v>0</c:v>
                </c:pt>
                <c:pt idx="1">
                  <c:v>25</c:v>
                </c:pt>
                <c:pt idx="2">
                  <c:v>17</c:v>
                </c:pt>
                <c:pt idx="3">
                  <c:v>16</c:v>
                </c:pt>
                <c:pt idx="4">
                  <c:v>4</c:v>
                </c:pt>
                <c:pt idx="5">
                  <c:v>14</c:v>
                </c:pt>
                <c:pt idx="6">
                  <c:v>11</c:v>
                </c:pt>
                <c:pt idx="7">
                  <c:v>10</c:v>
                </c:pt>
                <c:pt idx="8">
                  <c:v>11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76-4A57-BC52-11789BF0C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68096"/>
        <c:axId val="29669632"/>
      </c:barChart>
      <c:catAx>
        <c:axId val="2966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669632"/>
        <c:crosses val="autoZero"/>
        <c:auto val="1"/>
        <c:lblAlgn val="ctr"/>
        <c:lblOffset val="100"/>
        <c:noMultiLvlLbl val="0"/>
      </c:catAx>
      <c:valAx>
        <c:axId val="29669632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66809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93957898119874E-2"/>
          <c:y val="6.0224473035860933E-2"/>
          <c:w val="0.92735706251004335"/>
          <c:h val="0.753423853514373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Лист1!$B$10:$K$10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Лист1!$B$11:$K$11</c:f>
              <c:numCache>
                <c:formatCode>General</c:formatCode>
                <c:ptCount val="10"/>
                <c:pt idx="0">
                  <c:v>25.3</c:v>
                </c:pt>
                <c:pt idx="1">
                  <c:v>24.5</c:v>
                </c:pt>
                <c:pt idx="2">
                  <c:v>23.7</c:v>
                </c:pt>
                <c:pt idx="3">
                  <c:v>22.4</c:v>
                </c:pt>
                <c:pt idx="4">
                  <c:v>22.7</c:v>
                </c:pt>
                <c:pt idx="5">
                  <c:v>20.6</c:v>
                </c:pt>
                <c:pt idx="6">
                  <c:v>20.100000000000001</c:v>
                </c:pt>
                <c:pt idx="7">
                  <c:v>19.899999999999999</c:v>
                </c:pt>
                <c:pt idx="8">
                  <c:v>19.8</c:v>
                </c:pt>
                <c:pt idx="9">
                  <c:v>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0-4575-8BB1-2D1C9380B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81536"/>
        <c:axId val="29683072"/>
      </c:barChart>
      <c:catAx>
        <c:axId val="2968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3072"/>
        <c:crosses val="autoZero"/>
        <c:auto val="1"/>
        <c:lblAlgn val="ctr"/>
        <c:lblOffset val="100"/>
        <c:noMultiLvlLbl val="0"/>
      </c:catAx>
      <c:valAx>
        <c:axId val="2968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kochu</cp:lastModifiedBy>
  <cp:revision>12</cp:revision>
  <dcterms:created xsi:type="dcterms:W3CDTF">2020-11-17T06:55:00Z</dcterms:created>
  <dcterms:modified xsi:type="dcterms:W3CDTF">2021-04-22T17:18:00Z</dcterms:modified>
</cp:coreProperties>
</file>