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58" w:rsidRPr="00127459" w:rsidRDefault="009A0658" w:rsidP="009A06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Горбатенко О.А.</w:t>
      </w:r>
    </w:p>
    <w:p w:rsidR="00AC4299" w:rsidRPr="00AC4299" w:rsidRDefault="00AC4299" w:rsidP="009A065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4299">
        <w:rPr>
          <w:rFonts w:ascii="Times New Roman" w:hAnsi="Times New Roman" w:cs="Times New Roman"/>
          <w:b/>
          <w:sz w:val="24"/>
          <w:szCs w:val="24"/>
        </w:rPr>
        <w:t xml:space="preserve">ВОЗМОЖНОСТИ </w:t>
      </w:r>
      <w:proofErr w:type="gramStart"/>
      <w:r w:rsidRPr="00AC4299">
        <w:rPr>
          <w:rFonts w:ascii="Times New Roman" w:hAnsi="Times New Roman"/>
          <w:b/>
          <w:sz w:val="24"/>
          <w:szCs w:val="24"/>
        </w:rPr>
        <w:t>КОНТРАСТ-УСИЛЕННОГО</w:t>
      </w:r>
      <w:proofErr w:type="gramEnd"/>
      <w:r w:rsidRPr="00AC4299">
        <w:rPr>
          <w:rFonts w:ascii="Times New Roman" w:hAnsi="Times New Roman"/>
          <w:b/>
          <w:sz w:val="24"/>
          <w:szCs w:val="24"/>
        </w:rPr>
        <w:t xml:space="preserve"> УЛЬТРАЗВУКОВОГО ИССЛЕДОВАНИЯ ПОЧЕК В РАННЕЙ ДИАГНОСТИКЕ ДИАБЕТИЧЕСКОЙ НЕФРОПАТИИ</w:t>
      </w:r>
      <w:r w:rsidRPr="00AC42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C4299" w:rsidRDefault="009A0658" w:rsidP="00AC429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12745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Gorbatenko</w:t>
      </w:r>
      <w:proofErr w:type="spellEnd"/>
      <w:r w:rsidRPr="00AC429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12745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</w:t>
      </w:r>
      <w:r w:rsidRPr="00AC429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12745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</w:t>
      </w:r>
      <w:r w:rsidRPr="00AC429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:rsidR="00153FB8" w:rsidRPr="00AC4299" w:rsidRDefault="00AC4299" w:rsidP="00AC42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C4299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POSSIBILITIES</w:t>
      </w:r>
      <w:r>
        <w:rPr>
          <w:rFonts w:ascii="inherit" w:eastAsia="Times New Roman" w:hAnsi="inherit" w:cs="Courier New"/>
          <w:color w:val="202124"/>
          <w:sz w:val="42"/>
          <w:szCs w:val="42"/>
          <w:lang w:val="en-US" w:eastAsia="ru-RU"/>
        </w:rPr>
        <w:t xml:space="preserve"> </w:t>
      </w:r>
      <w:r w:rsidRPr="00AC4299">
        <w:rPr>
          <w:rFonts w:ascii="Times New Roman" w:hAnsi="Times New Roman" w:cs="Times New Roman"/>
          <w:b/>
          <w:sz w:val="24"/>
          <w:szCs w:val="24"/>
          <w:lang w:val="en"/>
        </w:rPr>
        <w:t>OF CONTRAST-AMPLIFIED ULTRASONIC STUDY OF KIDNEYS IN EARLY DIAGNOSTICS OF DIABETIC NEPHROPATHY</w:t>
      </w:r>
    </w:p>
    <w:p w:rsidR="009A0658" w:rsidRPr="00127459" w:rsidRDefault="009A0658" w:rsidP="009A065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Ключевые слова: </w:t>
      </w:r>
      <w:proofErr w:type="gramStart"/>
      <w:r w:rsidRPr="00127459">
        <w:rPr>
          <w:rFonts w:ascii="Times New Roman" w:hAnsi="Times New Roman" w:cs="Times New Roman"/>
          <w:color w:val="000000" w:themeColor="text1"/>
          <w:sz w:val="24"/>
          <w:szCs w:val="24"/>
        </w:rPr>
        <w:t>контраст-усиленное</w:t>
      </w:r>
      <w:proofErr w:type="gramEnd"/>
      <w:r w:rsidRPr="00127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ультразвуковое исследование, </w:t>
      </w:r>
      <w:proofErr w:type="spellStart"/>
      <w:r w:rsidRPr="00127459">
        <w:rPr>
          <w:rFonts w:ascii="Times New Roman" w:hAnsi="Times New Roman" w:cs="Times New Roman"/>
          <w:color w:val="000000" w:themeColor="text1"/>
          <w:sz w:val="24"/>
          <w:szCs w:val="24"/>
        </w:rPr>
        <w:t>ангионефросклероз</w:t>
      </w:r>
      <w:proofErr w:type="spellEnd"/>
      <w:r w:rsidRPr="001274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0658" w:rsidRPr="00127459" w:rsidRDefault="009A0658" w:rsidP="009A065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274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Key words: contrast-enhanced ultrasound, angionephrosclerosis</w:t>
      </w:r>
    </w:p>
    <w:p w:rsidR="009A0658" w:rsidRPr="00127459" w:rsidRDefault="009A0658" w:rsidP="009A065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2745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127459">
        <w:rPr>
          <w:rFonts w:ascii="Times New Roman" w:hAnsi="Times New Roman" w:cs="Times New Roman"/>
          <w:color w:val="000000" w:themeColor="text1"/>
          <w:sz w:val="24"/>
          <w:szCs w:val="24"/>
        </w:rPr>
        <w:t>Проблемная научно-исследовательская лаборатория «Диагностические исследования и малоинвазивные технологии», ФГБОУ ВО Смоленский государственный медицинский университет Минздрава России (214006, г. Смоленск, ул. Фрунзе</w:t>
      </w:r>
      <w:r w:rsidRPr="001274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12745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1274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.40)</w:t>
      </w:r>
    </w:p>
    <w:p w:rsidR="009A0658" w:rsidRPr="00127459" w:rsidRDefault="009A0658" w:rsidP="009A065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2745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1</w:t>
      </w:r>
      <w:r w:rsidRPr="001274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Fundamental research laboratory “Diagnostic researches and minimally invasive technologies”, Smolensk State Medical University, the Ministry of Health of the Russian Federation, Smolensk</w:t>
      </w:r>
    </w:p>
    <w:p w:rsidR="009A0658" w:rsidRPr="00127459" w:rsidRDefault="009A0658" w:rsidP="00EE30B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7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</w:t>
      </w:r>
    </w:p>
    <w:p w:rsidR="009A0658" w:rsidRPr="00127459" w:rsidRDefault="009A0658" w:rsidP="00EE30B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0658" w:rsidRPr="00127459" w:rsidRDefault="009A0658" w:rsidP="00EE30BD">
      <w:pPr>
        <w:jc w:val="both"/>
        <w:rPr>
          <w:rFonts w:ascii="Times New Roman" w:hAnsi="Times New Roman" w:cs="Times New Roman"/>
          <w:sz w:val="24"/>
          <w:szCs w:val="24"/>
        </w:rPr>
      </w:pPr>
      <w:r w:rsidRPr="007D70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Цель.</w:t>
      </w:r>
      <w:r w:rsidRPr="00127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27459">
        <w:rPr>
          <w:rFonts w:ascii="Times New Roman" w:hAnsi="Times New Roman" w:cs="Times New Roman"/>
          <w:sz w:val="24"/>
          <w:szCs w:val="24"/>
        </w:rPr>
        <w:t xml:space="preserve">Оценить </w:t>
      </w:r>
      <w:r w:rsidR="002D40A8">
        <w:rPr>
          <w:rFonts w:ascii="Times New Roman" w:hAnsi="Times New Roman" w:cs="Times New Roman"/>
          <w:sz w:val="24"/>
          <w:szCs w:val="24"/>
        </w:rPr>
        <w:t>диагностический потенциал</w:t>
      </w:r>
      <w:r w:rsidRPr="00127459">
        <w:rPr>
          <w:rFonts w:ascii="Times New Roman" w:hAnsi="Times New Roman" w:cs="Times New Roman"/>
          <w:sz w:val="24"/>
          <w:szCs w:val="24"/>
        </w:rPr>
        <w:t xml:space="preserve"> методики контраст усиленного ультразвукового исследования почек для пациентов с </w:t>
      </w:r>
      <w:r w:rsidR="00AC4299">
        <w:rPr>
          <w:rFonts w:ascii="Times New Roman" w:hAnsi="Times New Roman" w:cs="Times New Roman"/>
          <w:sz w:val="24"/>
          <w:szCs w:val="24"/>
        </w:rPr>
        <w:t>диабетической нефропатией.</w:t>
      </w:r>
    </w:p>
    <w:p w:rsidR="00F07197" w:rsidRPr="00706A4A" w:rsidRDefault="009A0658" w:rsidP="00EE30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D70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Материалы и методы.</w:t>
      </w:r>
      <w:r w:rsidRPr="00127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4299">
        <w:rPr>
          <w:rFonts w:ascii="Times New Roman" w:hAnsi="Times New Roman" w:cs="Times New Roman"/>
          <w:sz w:val="24"/>
          <w:szCs w:val="24"/>
        </w:rPr>
        <w:t xml:space="preserve">Было проведено обследование </w:t>
      </w:r>
      <w:r w:rsidR="00AC4299" w:rsidRPr="00AC4299">
        <w:rPr>
          <w:rFonts w:ascii="Times New Roman" w:hAnsi="Times New Roman" w:cs="Times New Roman"/>
          <w:sz w:val="24"/>
          <w:szCs w:val="24"/>
        </w:rPr>
        <w:t>14</w:t>
      </w:r>
      <w:r w:rsidRPr="00127459">
        <w:rPr>
          <w:rFonts w:ascii="Times New Roman" w:hAnsi="Times New Roman" w:cs="Times New Roman"/>
          <w:sz w:val="24"/>
          <w:szCs w:val="24"/>
        </w:rPr>
        <w:t xml:space="preserve"> пациентов с верифицированным диагнозом СД 2 типа. Возраст обс</w:t>
      </w:r>
      <w:r w:rsidR="00F07197">
        <w:rPr>
          <w:rFonts w:ascii="Times New Roman" w:hAnsi="Times New Roman" w:cs="Times New Roman"/>
          <w:sz w:val="24"/>
          <w:szCs w:val="24"/>
        </w:rPr>
        <w:t>ле</w:t>
      </w:r>
      <w:r w:rsidR="00BC321F">
        <w:rPr>
          <w:rFonts w:ascii="Times New Roman" w:hAnsi="Times New Roman" w:cs="Times New Roman"/>
          <w:sz w:val="24"/>
          <w:szCs w:val="24"/>
        </w:rPr>
        <w:t>дованных пациентов составил 35-</w:t>
      </w:r>
      <w:r w:rsidR="00BC321F" w:rsidRPr="00BC321F">
        <w:rPr>
          <w:rFonts w:ascii="Times New Roman" w:hAnsi="Times New Roman" w:cs="Times New Roman"/>
          <w:sz w:val="24"/>
          <w:szCs w:val="24"/>
        </w:rPr>
        <w:t>5</w:t>
      </w:r>
      <w:r w:rsidR="00F07197">
        <w:rPr>
          <w:rFonts w:ascii="Times New Roman" w:hAnsi="Times New Roman" w:cs="Times New Roman"/>
          <w:sz w:val="24"/>
          <w:szCs w:val="24"/>
        </w:rPr>
        <w:t xml:space="preserve">5 лет. </w:t>
      </w:r>
      <w:r w:rsidR="00BC321F">
        <w:rPr>
          <w:rFonts w:ascii="Times New Roman" w:hAnsi="Times New Roman" w:cs="Times New Roman"/>
          <w:sz w:val="24"/>
          <w:szCs w:val="24"/>
        </w:rPr>
        <w:t>Стаж СД 2 типа составил 7,</w:t>
      </w:r>
      <w:r w:rsidR="00BC321F" w:rsidRPr="00AC4299">
        <w:rPr>
          <w:rFonts w:ascii="Times New Roman" w:hAnsi="Times New Roman" w:cs="Times New Roman"/>
          <w:sz w:val="24"/>
          <w:szCs w:val="24"/>
        </w:rPr>
        <w:t>8</w:t>
      </w:r>
      <w:r w:rsidR="00AC4299">
        <w:rPr>
          <w:rFonts w:ascii="Times New Roman" w:hAnsi="Times New Roman" w:cs="Times New Roman"/>
          <w:sz w:val="24"/>
          <w:szCs w:val="24"/>
        </w:rPr>
        <w:t>±</w:t>
      </w:r>
      <w:r w:rsidR="00AC4299" w:rsidRPr="00F6104C">
        <w:rPr>
          <w:rFonts w:ascii="Times New Roman" w:hAnsi="Times New Roman" w:cs="Times New Roman"/>
          <w:sz w:val="24"/>
          <w:szCs w:val="24"/>
        </w:rPr>
        <w:t>3</w:t>
      </w:r>
      <w:r w:rsidR="004F168B">
        <w:rPr>
          <w:rFonts w:ascii="Times New Roman" w:hAnsi="Times New Roman" w:cs="Times New Roman"/>
          <w:sz w:val="24"/>
          <w:szCs w:val="24"/>
        </w:rPr>
        <w:t>,7 лет.</w:t>
      </w:r>
      <w:r w:rsidR="0079019F" w:rsidRPr="00BC50AA">
        <w:rPr>
          <w:rFonts w:ascii="Times New Roman" w:hAnsi="Times New Roman" w:cs="Times New Roman"/>
          <w:sz w:val="24"/>
          <w:szCs w:val="24"/>
        </w:rPr>
        <w:t xml:space="preserve"> </w:t>
      </w:r>
      <w:r w:rsidR="00BC321F">
        <w:rPr>
          <w:rFonts w:ascii="Times New Roman" w:hAnsi="Times New Roman" w:cs="Times New Roman"/>
          <w:sz w:val="24"/>
          <w:szCs w:val="24"/>
        </w:rPr>
        <w:t xml:space="preserve">Средний возраст – </w:t>
      </w:r>
      <w:r w:rsidR="00AC4299">
        <w:rPr>
          <w:rFonts w:ascii="Times New Roman" w:hAnsi="Times New Roman" w:cs="Times New Roman"/>
          <w:sz w:val="24"/>
          <w:szCs w:val="24"/>
        </w:rPr>
        <w:t>4</w:t>
      </w:r>
      <w:r w:rsidR="00AC4299" w:rsidRPr="00F6104C">
        <w:rPr>
          <w:rFonts w:ascii="Times New Roman" w:hAnsi="Times New Roman" w:cs="Times New Roman"/>
          <w:sz w:val="24"/>
          <w:szCs w:val="24"/>
        </w:rPr>
        <w:t>4</w:t>
      </w:r>
      <w:r w:rsidR="00BC321F">
        <w:rPr>
          <w:rFonts w:ascii="Times New Roman" w:hAnsi="Times New Roman" w:cs="Times New Roman"/>
          <w:sz w:val="24"/>
          <w:szCs w:val="24"/>
        </w:rPr>
        <w:t>±1,</w:t>
      </w:r>
      <w:r w:rsidR="00BC321F" w:rsidRPr="00BC321F">
        <w:rPr>
          <w:rFonts w:ascii="Times New Roman" w:hAnsi="Times New Roman" w:cs="Times New Roman"/>
          <w:sz w:val="24"/>
          <w:szCs w:val="24"/>
        </w:rPr>
        <w:t>9</w:t>
      </w:r>
      <w:r w:rsidRPr="00127459">
        <w:rPr>
          <w:rFonts w:ascii="Times New Roman" w:hAnsi="Times New Roman" w:cs="Times New Roman"/>
          <w:sz w:val="24"/>
          <w:szCs w:val="24"/>
        </w:rPr>
        <w:t xml:space="preserve"> лет. </w:t>
      </w:r>
      <w:r w:rsidRPr="00127459">
        <w:rPr>
          <w:rFonts w:ascii="Times New Roman" w:hAnsi="Times New Roman" w:cs="Times New Roman"/>
          <w:color w:val="000000" w:themeColor="text1"/>
        </w:rPr>
        <w:t xml:space="preserve">Всем пациентам  </w:t>
      </w:r>
      <w:r w:rsidR="00F07197">
        <w:rPr>
          <w:rFonts w:ascii="Times New Roman" w:hAnsi="Times New Roman" w:cs="Times New Roman"/>
          <w:color w:val="000000" w:themeColor="text1"/>
        </w:rPr>
        <w:t xml:space="preserve">было проведено </w:t>
      </w:r>
      <w:proofErr w:type="spellStart"/>
      <w:r w:rsidR="00F07197">
        <w:rPr>
          <w:rFonts w:ascii="Times New Roman" w:hAnsi="Times New Roman" w:cs="Times New Roman"/>
          <w:color w:val="000000" w:themeColor="text1"/>
        </w:rPr>
        <w:t>мультипараметрическое</w:t>
      </w:r>
      <w:proofErr w:type="spellEnd"/>
      <w:r w:rsidR="00F07197">
        <w:rPr>
          <w:rFonts w:ascii="Times New Roman" w:hAnsi="Times New Roman" w:cs="Times New Roman"/>
          <w:color w:val="000000" w:themeColor="text1"/>
        </w:rPr>
        <w:t xml:space="preserve"> ультразвуковое исследование</w:t>
      </w:r>
      <w:r w:rsidRPr="00127459">
        <w:rPr>
          <w:rFonts w:ascii="Times New Roman" w:hAnsi="Times New Roman" w:cs="Times New Roman"/>
          <w:color w:val="000000" w:themeColor="text1"/>
        </w:rPr>
        <w:t xml:space="preserve">, включающая в себя: </w:t>
      </w:r>
      <w:r w:rsidRPr="00127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ультразвуковое исследование почек в В-режиме с дальнейшей диагностикой сосудов в режиме </w:t>
      </w:r>
      <w:r w:rsidR="00F0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цветового </w:t>
      </w:r>
      <w:r w:rsidRPr="00127459">
        <w:rPr>
          <w:rFonts w:ascii="Times New Roman" w:hAnsi="Times New Roman" w:cs="Times New Roman"/>
          <w:color w:val="000000" w:themeColor="text1"/>
          <w:sz w:val="24"/>
          <w:szCs w:val="24"/>
        </w:rPr>
        <w:t>допплеровского картирования</w:t>
      </w:r>
      <w:r w:rsidR="00F0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27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проводилось </w:t>
      </w:r>
      <w:proofErr w:type="gramStart"/>
      <w:r w:rsidRPr="00127459">
        <w:rPr>
          <w:rFonts w:ascii="Times New Roman" w:hAnsi="Times New Roman" w:cs="Times New Roman"/>
          <w:color w:val="000000" w:themeColor="text1"/>
          <w:sz w:val="24"/>
          <w:szCs w:val="24"/>
        </w:rPr>
        <w:t>контраст-усиленное</w:t>
      </w:r>
      <w:proofErr w:type="gramEnd"/>
      <w:r w:rsidRPr="00127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ультразвуковое исследование (КУУЗИ) почек с применением эхоконтрастного препарата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BC32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SonoVue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27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дозе 2,5 мл (в соответствии с Европейскими рекомендациями для клинической практики по контраст-усиленному ультразвуковому исследованию)</w:t>
      </w:r>
      <w:r w:rsidR="00F071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27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7197" w:rsidRPr="00706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МР - ангиография – </w:t>
      </w:r>
      <w:proofErr w:type="spellStart"/>
      <w:r w:rsidR="00F07197" w:rsidRPr="00706A4A">
        <w:rPr>
          <w:rFonts w:ascii="Times New Roman" w:hAnsi="Times New Roman" w:cs="Times New Roman"/>
          <w:color w:val="000000" w:themeColor="text1"/>
          <w:sz w:val="24"/>
          <w:szCs w:val="24"/>
        </w:rPr>
        <w:t>референтный</w:t>
      </w:r>
      <w:proofErr w:type="spellEnd"/>
      <w:r w:rsidR="00F07197" w:rsidRPr="00706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 исследования.</w:t>
      </w:r>
    </w:p>
    <w:p w:rsidR="009A0658" w:rsidRPr="00127459" w:rsidRDefault="009A0658" w:rsidP="00EE30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A0658" w:rsidRPr="00127459" w:rsidRDefault="009A0658" w:rsidP="00EE30B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70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Результаты.</w:t>
      </w:r>
      <w:r w:rsidRPr="00127459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="00F07197" w:rsidRPr="00706A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Метод КУУЗИ почек на фоне СД 2 типа составил: чувствительность (</w:t>
      </w:r>
      <w:r w:rsidR="00BC32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91,5</w:t>
      </w:r>
      <w:r w:rsidR="00F07197" w:rsidRPr="00706A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%), точность (</w:t>
      </w:r>
      <w:r w:rsidR="00BC32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89,4</w:t>
      </w:r>
      <w:r w:rsidR="00F07197" w:rsidRPr="00706A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%). </w:t>
      </w:r>
      <w:r w:rsidR="00F071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</w:t>
      </w:r>
      <w:r w:rsidR="00F610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жим ЦДК – чувствительность (65,7-80</w:t>
      </w:r>
      <w:r w:rsidR="00BC32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,3</w:t>
      </w:r>
      <w:r w:rsidR="00F07197" w:rsidRPr="00706A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%), точность</w:t>
      </w:r>
      <w:r w:rsidR="00F610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(57</w:t>
      </w:r>
      <w:r w:rsidR="00F07197" w:rsidRPr="00706A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F610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4-71</w:t>
      </w:r>
      <w:r w:rsidR="00F071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,9</w:t>
      </w:r>
      <w:r w:rsidR="00F07197" w:rsidRPr="00706A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%). Колебание информации при ЦДК</w:t>
      </w:r>
      <w:r w:rsidR="00F071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</w:t>
      </w:r>
      <w:r w:rsidR="00F07197" w:rsidRPr="002B5E0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ависит от визуализации сосудов мелкого калибра</w:t>
      </w:r>
      <w:r w:rsidR="00F071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A0658" w:rsidRPr="00AC4299" w:rsidRDefault="009A0658" w:rsidP="00EE3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0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Заключение.</w:t>
      </w:r>
      <w:r w:rsidRPr="00127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745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F0719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07197" w:rsidRPr="002B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рименение </w:t>
      </w:r>
      <w:proofErr w:type="gramStart"/>
      <w:r w:rsidR="00F07197">
        <w:rPr>
          <w:rFonts w:ascii="Times New Roman" w:hAnsi="Times New Roman" w:cs="Times New Roman"/>
          <w:color w:val="000000" w:themeColor="text1"/>
          <w:sz w:val="24"/>
          <w:szCs w:val="24"/>
        </w:rPr>
        <w:t>контраст-усиленного</w:t>
      </w:r>
      <w:proofErr w:type="gramEnd"/>
      <w:r w:rsidR="00F0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ультразвукового исследования </w:t>
      </w:r>
      <w:r w:rsidR="00F07197" w:rsidRPr="002B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ранней диагностике ангионефросклероза у пациентов с </w:t>
      </w:r>
      <w:r w:rsidR="00AC4299">
        <w:rPr>
          <w:rFonts w:ascii="Times New Roman" w:hAnsi="Times New Roman" w:cs="Times New Roman"/>
          <w:color w:val="000000" w:themeColor="text1"/>
          <w:sz w:val="24"/>
          <w:szCs w:val="24"/>
        </w:rPr>
        <w:t>диабетической нефропатии.</w:t>
      </w:r>
    </w:p>
    <w:p w:rsidR="009A0658" w:rsidRPr="00127459" w:rsidRDefault="009A0658" w:rsidP="00EE30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658" w:rsidRPr="0079019F" w:rsidRDefault="009A0658" w:rsidP="00EE30BD">
      <w:pPr>
        <w:spacing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9019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Abstract</w:t>
      </w:r>
    </w:p>
    <w:p w:rsidR="009A0658" w:rsidRPr="00AC4299" w:rsidRDefault="009A0658" w:rsidP="00EE30BD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3FB8">
        <w:rPr>
          <w:rFonts w:ascii="Times New Roman" w:hAnsi="Times New Roman" w:cs="Times New Roman"/>
          <w:i/>
          <w:sz w:val="24"/>
          <w:szCs w:val="24"/>
          <w:lang w:val="en-US"/>
        </w:rPr>
        <w:t>Aim of the research.</w:t>
      </w:r>
      <w:r w:rsidRPr="00153FB8">
        <w:rPr>
          <w:rFonts w:ascii="Times New Roman" w:hAnsi="Times New Roman" w:cs="Times New Roman"/>
          <w:sz w:val="24"/>
          <w:szCs w:val="24"/>
        </w:rPr>
        <w:t>Т</w:t>
      </w:r>
      <w:r w:rsidRPr="00153FB8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r w:rsidR="00EC7731" w:rsidRPr="00153FB8">
        <w:rPr>
          <w:rFonts w:ascii="Times New Roman" w:hAnsi="Times New Roman" w:cs="Times New Roman"/>
          <w:sz w:val="24"/>
          <w:szCs w:val="24"/>
          <w:lang w:val="en"/>
        </w:rPr>
        <w:t>assess</w:t>
      </w:r>
      <w:proofErr w:type="gramEnd"/>
      <w:r w:rsidR="00EC7731" w:rsidRPr="00153FB8">
        <w:rPr>
          <w:rFonts w:ascii="Times New Roman" w:hAnsi="Times New Roman" w:cs="Times New Roman"/>
          <w:sz w:val="24"/>
          <w:szCs w:val="24"/>
          <w:lang w:val="en"/>
        </w:rPr>
        <w:t xml:space="preserve"> the diagnostic potential of </w:t>
      </w:r>
      <w:r w:rsidR="0079019F" w:rsidRPr="00153FB8">
        <w:rPr>
          <w:rFonts w:ascii="Times New Roman" w:hAnsi="Times New Roman" w:cs="Times New Roman"/>
          <w:sz w:val="24"/>
          <w:szCs w:val="24"/>
          <w:lang w:val="en"/>
        </w:rPr>
        <w:t xml:space="preserve">method </w:t>
      </w:r>
      <w:r w:rsidR="0079019F" w:rsidRPr="00153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contrast-enhanced ultrasound </w:t>
      </w:r>
      <w:r w:rsidR="0079019F" w:rsidRPr="00153F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(CEUS) </w:t>
      </w:r>
      <w:r w:rsidR="0079019F" w:rsidRPr="00153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examination of kidneys in patients with </w:t>
      </w:r>
      <w:r w:rsidR="00AC4299" w:rsidRPr="00AC4299">
        <w:rPr>
          <w:rFonts w:ascii="Times New Roman" w:hAnsi="Times New Roman" w:cs="Times New Roman"/>
          <w:sz w:val="24"/>
          <w:szCs w:val="24"/>
          <w:lang w:val="en"/>
        </w:rPr>
        <w:t>diabetic nephropathy</w:t>
      </w:r>
      <w:r w:rsidR="00AC4299" w:rsidRPr="00AC42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7731" w:rsidRPr="00153FB8" w:rsidRDefault="00EC7731" w:rsidP="00EE30BD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0658" w:rsidRPr="00153FB8" w:rsidRDefault="009A0658" w:rsidP="00EE30BD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153FB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Materials and methods.</w:t>
      </w:r>
      <w:proofErr w:type="gramEnd"/>
      <w:r w:rsidR="00AC42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AC42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</w:t>
      </w:r>
      <w:r w:rsidRPr="00153F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patients with verified type 2 diabetes.</w:t>
      </w:r>
      <w:proofErr w:type="gramEnd"/>
      <w:r w:rsidRPr="00153F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age of</w:t>
      </w:r>
      <w:r w:rsidR="00BC321F" w:rsidRPr="00153F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examined patients was 35-55 years. The average age is 49 ± 1.</w:t>
      </w:r>
      <w:r w:rsidR="00BC321F" w:rsidRPr="00AC42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153F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years. All patients underwent complex diagnostics, including: </w:t>
      </w:r>
      <w:r w:rsidRPr="00153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ultrasound examination of kidneys in B-mode with vascular diagnostics in Color Doppler mode</w:t>
      </w:r>
      <w:r w:rsidRPr="00153F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153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Also, all patients underwent contrast-enhanced ultrasound </w:t>
      </w:r>
      <w:r w:rsidR="00EE30BD" w:rsidRPr="00153F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(CEUS) </w:t>
      </w:r>
      <w:r w:rsidRPr="00153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examination of kidneys.</w:t>
      </w:r>
      <w:r w:rsidRPr="00153F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Then, CEUS of kidneys was carried out using </w:t>
      </w:r>
      <w:proofErr w:type="gramStart"/>
      <w:r w:rsidRPr="00153F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</w:t>
      </w:r>
      <w:proofErr w:type="gramEnd"/>
      <w:r w:rsidRPr="00153F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contrast-enhanced agent "</w:t>
      </w:r>
      <w:proofErr w:type="spellStart"/>
      <w:r w:rsidRPr="00153F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SonoVue</w:t>
      </w:r>
      <w:proofErr w:type="spellEnd"/>
      <w:r w:rsidRPr="00153F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" at a dose of 2.5 ml (in accordance with the European guidelines for clinical practice on contrast-e</w:t>
      </w:r>
      <w:r w:rsidR="00EC7731" w:rsidRPr="00153F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nhanced ultrasound examination).</w:t>
      </w:r>
    </w:p>
    <w:p w:rsidR="00EC7731" w:rsidRPr="00153FB8" w:rsidRDefault="009A0658" w:rsidP="00EE30BD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153FB8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val="en-US" w:eastAsia="en-US"/>
        </w:rPr>
        <w:t>Results.</w:t>
      </w:r>
      <w:proofErr w:type="gramEnd"/>
      <w:r w:rsidRPr="00153F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C7731" w:rsidRPr="00153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method of CEUS of the kidneys with patients with type 2 diabetes has sensitivity </w:t>
      </w:r>
      <w:r w:rsidR="00BC321F" w:rsidRPr="00153F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(91</w:t>
      </w:r>
      <w:proofErr w:type="gramStart"/>
      <w:r w:rsidR="00BC321F" w:rsidRPr="00153F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,5</w:t>
      </w:r>
      <w:proofErr w:type="gramEnd"/>
      <w:r w:rsidR="00BC321F" w:rsidRPr="00153F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%), </w:t>
      </w:r>
      <w:r w:rsidR="00EC7731" w:rsidRPr="00153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accuracy </w:t>
      </w:r>
      <w:r w:rsidR="005F0381" w:rsidRPr="00153F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(89,4%). </w:t>
      </w:r>
      <w:r w:rsidR="00EC7731" w:rsidRPr="00153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Color Doppler mode has sensitivity </w:t>
      </w:r>
      <w:r w:rsidR="005F0381" w:rsidRPr="00AC42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="00F610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65</w:t>
      </w:r>
      <w:proofErr w:type="gramStart"/>
      <w:r w:rsidR="00F610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,7</w:t>
      </w:r>
      <w:proofErr w:type="gramEnd"/>
      <w:r w:rsidR="00F610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-80,3</w:t>
      </w:r>
      <w:r w:rsidR="00F6104C" w:rsidRPr="00706A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%), </w:t>
      </w:r>
      <w:r w:rsidR="00EC7731" w:rsidRPr="00153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accuracy </w:t>
      </w:r>
      <w:r w:rsidR="005F0381" w:rsidRPr="00AC42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="00F610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57</w:t>
      </w:r>
      <w:r w:rsidR="00F6104C" w:rsidRPr="00706A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F610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4-71,9</w:t>
      </w:r>
      <w:r w:rsidR="00F6104C" w:rsidRPr="00706A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%</w:t>
      </w:r>
      <w:r w:rsidR="005F0381" w:rsidRPr="00AC42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).</w:t>
      </w:r>
    </w:p>
    <w:p w:rsidR="009A0658" w:rsidRPr="00AC4299" w:rsidRDefault="009A0658" w:rsidP="00EE30BD">
      <w:pPr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/>
        </w:rPr>
      </w:pPr>
      <w:proofErr w:type="gramStart"/>
      <w:r w:rsidRPr="00153F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Conclusion.</w:t>
      </w:r>
      <w:proofErr w:type="gramEnd"/>
      <w:r w:rsidRPr="00153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EC7731" w:rsidRPr="00153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Use of contrast-enhanced ultrasound examination in the early diagnosis of angionephrosclerosis in patients with </w:t>
      </w:r>
      <w:r w:rsidR="00AC4299" w:rsidRPr="00AC4299">
        <w:rPr>
          <w:rFonts w:ascii="Times New Roman" w:hAnsi="Times New Roman" w:cs="Times New Roman"/>
          <w:sz w:val="24"/>
          <w:szCs w:val="24"/>
          <w:lang w:val="en"/>
        </w:rPr>
        <w:t>diabetic nephropathy</w:t>
      </w:r>
      <w:r w:rsidR="00AC4299" w:rsidRPr="00AC429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A0658" w:rsidRPr="00127459" w:rsidRDefault="009A0658" w:rsidP="00EE30BD">
      <w:pPr>
        <w:jc w:val="both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7459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Контактная информация: </w:t>
      </w:r>
    </w:p>
    <w:p w:rsidR="009A0658" w:rsidRPr="00F07197" w:rsidRDefault="009A0658" w:rsidP="00EE30B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7197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Горбатенко Ольга Александровна</w:t>
      </w:r>
      <w:r w:rsidRPr="00F0719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– аспирант Проблемной научно-исследовательской лаборатории «Диагностические исследования и малоинвазивные технологии» ФГБОУ ВО СГМУ МЗ РФ, </w:t>
      </w:r>
      <w:r w:rsidRPr="00F0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тел: 8(903)892-41-57 </w:t>
      </w:r>
      <w:r w:rsidRPr="00F07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F0719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07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F0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>
        <w:r w:rsidRPr="00F0719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</w:t>
        </w:r>
        <w:r w:rsidRPr="00F0719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F0719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gorbatenkon</w:t>
        </w:r>
        <w:r w:rsidRPr="00F0719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Pr="00F0719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gmail</w:t>
        </w:r>
        <w:r w:rsidRPr="00F0719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F0719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com</w:t>
        </w:r>
      </w:hyperlink>
      <w:r w:rsidRPr="00F071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F07197">
        <w:rPr>
          <w:rStyle w:val="a3"/>
          <w:rFonts w:ascii="Times New Roman" w:hAnsi="Times New Roman" w:cs="Times New Roman"/>
          <w:iCs/>
          <w:sz w:val="24"/>
          <w:szCs w:val="24"/>
          <w:u w:val="none"/>
          <w:lang w:val="en-US"/>
        </w:rPr>
        <w:t>ORCID</w:t>
      </w:r>
      <w:r w:rsidRPr="00F07197">
        <w:rPr>
          <w:rStyle w:val="a3"/>
          <w:rFonts w:ascii="Times New Roman" w:hAnsi="Times New Roman" w:cs="Times New Roman"/>
          <w:iCs/>
          <w:sz w:val="24"/>
          <w:szCs w:val="24"/>
          <w:u w:val="none"/>
        </w:rPr>
        <w:t>:</w:t>
      </w:r>
      <w:r w:rsidRPr="00F071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0000-0002-8820-7713</w:t>
      </w:r>
    </w:p>
    <w:p w:rsidR="009A0658" w:rsidRPr="00127459" w:rsidRDefault="009A0658" w:rsidP="00EE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rFonts w:ascii="Times New Roman" w:hAnsi="Times New Roman" w:cs="Times New Roman"/>
          <w:b/>
          <w:color w:val="000000" w:themeColor="text1"/>
          <w:lang w:val="en-US"/>
        </w:rPr>
      </w:pPr>
      <w:r w:rsidRPr="00127459">
        <w:rPr>
          <w:rFonts w:ascii="Times New Roman" w:hAnsi="Times New Roman" w:cs="Times New Roman"/>
          <w:b/>
          <w:color w:val="000000" w:themeColor="text1"/>
          <w:lang w:val="en-US"/>
        </w:rPr>
        <w:t>Contact Information:</w:t>
      </w:r>
    </w:p>
    <w:p w:rsidR="009A0658" w:rsidRPr="00127459" w:rsidRDefault="009A0658" w:rsidP="00EE30B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lang w:val="en-US"/>
        </w:rPr>
      </w:pPr>
      <w:proofErr w:type="spellStart"/>
      <w:r w:rsidRPr="00F07197">
        <w:rPr>
          <w:color w:val="000000" w:themeColor="text1"/>
          <w:lang w:val="en-US"/>
        </w:rPr>
        <w:t>Gorbatenko</w:t>
      </w:r>
      <w:proofErr w:type="spellEnd"/>
      <w:r w:rsidRPr="00F07197">
        <w:rPr>
          <w:color w:val="000000" w:themeColor="text1"/>
          <w:lang w:val="en-US"/>
        </w:rPr>
        <w:t xml:space="preserve"> Olga </w:t>
      </w:r>
      <w:proofErr w:type="spellStart"/>
      <w:r w:rsidRPr="00F07197">
        <w:rPr>
          <w:color w:val="000000" w:themeColor="text1"/>
          <w:lang w:val="en-US"/>
        </w:rPr>
        <w:t>Alexandrovna</w:t>
      </w:r>
      <w:proofErr w:type="spellEnd"/>
      <w:r w:rsidRPr="00F07197">
        <w:rPr>
          <w:b/>
          <w:color w:val="000000" w:themeColor="text1"/>
          <w:lang w:val="en-US"/>
        </w:rPr>
        <w:t xml:space="preserve"> - </w:t>
      </w:r>
      <w:r w:rsidRPr="00F07197">
        <w:rPr>
          <w:iCs/>
          <w:color w:val="000000" w:themeColor="text1"/>
          <w:lang w:val="en-US"/>
        </w:rPr>
        <w:t xml:space="preserve">Graduate student </w:t>
      </w:r>
      <w:r w:rsidRPr="00F07197">
        <w:rPr>
          <w:rStyle w:val="a3"/>
          <w:iCs/>
          <w:color w:val="000000" w:themeColor="text1"/>
          <w:u w:val="none"/>
          <w:lang w:val="en-US"/>
        </w:rPr>
        <w:t xml:space="preserve">of the </w:t>
      </w:r>
      <w:r w:rsidRPr="00F07197">
        <w:rPr>
          <w:color w:val="000000" w:themeColor="text1"/>
          <w:lang w:val="en-US"/>
        </w:rPr>
        <w:t>Fundamental research laboratory “Diagnostic researches and minimally invasive technologies</w:t>
      </w:r>
      <w:r w:rsidRPr="00127459">
        <w:rPr>
          <w:color w:val="000000" w:themeColor="text1"/>
          <w:lang w:val="en-US"/>
        </w:rPr>
        <w:t>”, Smolensk State Medical University, the Ministry of Health of the Russian Federation</w:t>
      </w:r>
    </w:p>
    <w:p w:rsidR="009A0658" w:rsidRPr="00127459" w:rsidRDefault="009A0658" w:rsidP="00EE30BD">
      <w:pPr>
        <w:spacing w:after="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A0658" w:rsidRPr="00127459" w:rsidRDefault="009A0658" w:rsidP="00EE30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459">
        <w:rPr>
          <w:rFonts w:ascii="Times New Roman" w:hAnsi="Times New Roman" w:cs="Times New Roman"/>
          <w:color w:val="000000" w:themeColor="text1"/>
          <w:sz w:val="24"/>
          <w:szCs w:val="24"/>
        </w:rPr>
        <w:t>Данные для связи с авторами:</w:t>
      </w:r>
    </w:p>
    <w:p w:rsidR="009A0658" w:rsidRPr="00127459" w:rsidRDefault="009A0658" w:rsidP="00EE30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459">
        <w:rPr>
          <w:rFonts w:ascii="Times New Roman" w:hAnsi="Times New Roman" w:cs="Times New Roman"/>
          <w:color w:val="000000" w:themeColor="text1"/>
          <w:sz w:val="24"/>
          <w:szCs w:val="24"/>
        </w:rPr>
        <w:t>Автор, ответственный за переписку: Горбатенко Ольга Александровна</w:t>
      </w:r>
    </w:p>
    <w:p w:rsidR="009A0658" w:rsidRPr="00127459" w:rsidRDefault="009A0658" w:rsidP="00EE30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459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адрес: 214025, г. Смоленск, ул. Николаева, д. 34А, кв. 36</w:t>
      </w:r>
    </w:p>
    <w:p w:rsidR="009A0658" w:rsidRPr="00127459" w:rsidRDefault="009A0658" w:rsidP="00EE30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Телефон: +79038924157 </w:t>
      </w:r>
    </w:p>
    <w:p w:rsidR="009A0658" w:rsidRPr="00127459" w:rsidRDefault="009A0658" w:rsidP="00EE30BD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lang w:val="en-US"/>
        </w:rPr>
      </w:pPr>
      <w:r w:rsidRPr="001274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E-mail: o.gorbatenkon</w:t>
      </w:r>
      <w:hyperlink r:id="rId6" w:history="1">
        <w:r w:rsidRPr="0012745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@gmail.com</w:t>
        </w:r>
      </w:hyperlink>
      <w:r w:rsidRPr="00127459">
        <w:rPr>
          <w:rStyle w:val="a3"/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:rsidR="009A0658" w:rsidRPr="00153FB8" w:rsidRDefault="009A0658" w:rsidP="00153FB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07197" w:rsidRPr="00F6104C" w:rsidRDefault="00F07197" w:rsidP="00F61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5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Актуальность: </w:t>
      </w:r>
      <w:r w:rsidR="00F6104C" w:rsidRPr="00F6104C">
        <w:rPr>
          <w:rFonts w:ascii="Times New Roman" w:hAnsi="Times New Roman" w:cs="Times New Roman"/>
          <w:sz w:val="24"/>
          <w:szCs w:val="24"/>
        </w:rPr>
        <w:t xml:space="preserve">В настоящее время одним из глобальных глобальным вопросом в области эндокринологии остается прогрессивный рост сахарного диабета (СД). </w:t>
      </w:r>
      <w:r w:rsidR="00F6104C" w:rsidRPr="00F6104C">
        <w:rPr>
          <w:rFonts w:ascii="Times New Roman" w:eastAsia="TimesNewRomanPSMT" w:hAnsi="Times New Roman" w:cs="Times New Roman"/>
          <w:sz w:val="24"/>
          <w:szCs w:val="24"/>
        </w:rPr>
        <w:t xml:space="preserve">За последнее десятилетие количество людей с СД увеличилось в 2 раза </w:t>
      </w:r>
      <w:r w:rsidR="00F6104C" w:rsidRPr="00F6104C">
        <w:rPr>
          <w:rFonts w:ascii="Times New Roman" w:hAnsi="Times New Roman" w:cs="Times New Roman"/>
          <w:sz w:val="24"/>
          <w:szCs w:val="24"/>
        </w:rPr>
        <w:t>[1].</w:t>
      </w:r>
      <w:r w:rsidR="00F6104C" w:rsidRPr="00F6104C">
        <w:rPr>
          <w:sz w:val="24"/>
          <w:szCs w:val="24"/>
        </w:rPr>
        <w:t xml:space="preserve"> </w:t>
      </w:r>
      <w:r w:rsidR="00F6104C" w:rsidRPr="00F6104C">
        <w:rPr>
          <w:rFonts w:ascii="Times New Roman" w:eastAsia="TimesNewRomanPSMT" w:hAnsi="Times New Roman" w:cs="Times New Roman"/>
          <w:sz w:val="24"/>
          <w:szCs w:val="24"/>
        </w:rPr>
        <w:t xml:space="preserve">Порядка 760 млрд. долл. Было затрачено на лечение диабета к концу 2019 года. </w:t>
      </w:r>
      <w:r w:rsidR="00F6104C" w:rsidRPr="00F6104C">
        <w:rPr>
          <w:rFonts w:ascii="Times New Roman" w:hAnsi="Times New Roman" w:cs="Times New Roman"/>
          <w:sz w:val="24"/>
          <w:szCs w:val="24"/>
        </w:rPr>
        <w:t>[1,2].</w:t>
      </w:r>
      <w:r w:rsidR="00F6104C" w:rsidRPr="00F6104C">
        <w:rPr>
          <w:sz w:val="24"/>
          <w:szCs w:val="24"/>
        </w:rPr>
        <w:t xml:space="preserve"> </w:t>
      </w:r>
      <w:r w:rsidR="00F6104C" w:rsidRPr="00F6104C">
        <w:rPr>
          <w:rFonts w:ascii="Times New Roman" w:eastAsia="TimesNewRomanPSMT" w:hAnsi="Times New Roman" w:cs="Times New Roman"/>
          <w:sz w:val="24"/>
          <w:szCs w:val="24"/>
        </w:rPr>
        <w:t>Всемирная численность смертей вследствие СД составил 4,2 млн. за 2019 год</w:t>
      </w:r>
      <w:r w:rsidR="00F6104C" w:rsidRPr="00F6104C">
        <w:rPr>
          <w:rFonts w:ascii="Times New Roman" w:hAnsi="Times New Roman" w:cs="Times New Roman"/>
          <w:sz w:val="24"/>
          <w:szCs w:val="24"/>
        </w:rPr>
        <w:t xml:space="preserve">. </w:t>
      </w:r>
      <w:r w:rsidR="00F6104C" w:rsidRPr="00F6104C">
        <w:rPr>
          <w:rFonts w:ascii="Times New Roman" w:eastAsia="TimesNewRomanPSMT" w:hAnsi="Times New Roman" w:cs="Times New Roman"/>
          <w:sz w:val="24"/>
          <w:szCs w:val="24"/>
        </w:rPr>
        <w:t xml:space="preserve">Диабетическая нефропатия – является одним из акцентируемых осложнений данной патологии, </w:t>
      </w:r>
      <w:proofErr w:type="gramStart"/>
      <w:r w:rsidR="00F6104C" w:rsidRPr="00F6104C">
        <w:rPr>
          <w:rFonts w:ascii="Times New Roman" w:eastAsia="TimesNewRomanPSMT" w:hAnsi="Times New Roman" w:cs="Times New Roman"/>
          <w:sz w:val="24"/>
          <w:szCs w:val="24"/>
        </w:rPr>
        <w:t>меняющее</w:t>
      </w:r>
      <w:proofErr w:type="gramEnd"/>
      <w:r w:rsidR="00F6104C" w:rsidRPr="00F6104C">
        <w:rPr>
          <w:rFonts w:ascii="Times New Roman" w:eastAsia="TimesNewRomanPSMT" w:hAnsi="Times New Roman" w:cs="Times New Roman"/>
          <w:sz w:val="24"/>
          <w:szCs w:val="24"/>
        </w:rPr>
        <w:t xml:space="preserve"> тактику </w:t>
      </w:r>
      <w:r w:rsidR="00F6104C" w:rsidRPr="00F6104C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диагностики и лечения. По данным федерального регистра на территории РФ число диабетической нефропатии составило 17,5% </w:t>
      </w:r>
      <w:r w:rsidR="00F6104C" w:rsidRPr="00F6104C">
        <w:rPr>
          <w:rFonts w:ascii="Times New Roman" w:hAnsi="Times New Roman" w:cs="Times New Roman"/>
          <w:sz w:val="24"/>
          <w:szCs w:val="24"/>
        </w:rPr>
        <w:t>[1,2,3,4].</w:t>
      </w:r>
      <w:r w:rsidR="00F6104C" w:rsidRPr="00F6104C">
        <w:rPr>
          <w:sz w:val="24"/>
          <w:szCs w:val="24"/>
        </w:rPr>
        <w:t xml:space="preserve"> </w:t>
      </w:r>
      <w:r w:rsidR="00F6104C" w:rsidRPr="00F610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золотым стандартом диагностики паренхиматозного поражения почек является биопсия, но по причине возможных осложнений, таких как кровотечение, инфекции, перфорация полых органов и т.д., а также отсутствие согласия пациента на данное исследование, сохраняется актуальность в использовании более безопасного и доступного метода диагностики диабетической нефропатии </w:t>
      </w:r>
      <w:r w:rsidR="00F6104C" w:rsidRPr="00F6104C">
        <w:rPr>
          <w:rFonts w:ascii="Times New Roman" w:hAnsi="Times New Roman" w:cs="Times New Roman"/>
          <w:sz w:val="24"/>
          <w:szCs w:val="24"/>
        </w:rPr>
        <w:t>[4].</w:t>
      </w:r>
      <w:r w:rsidR="00F6104C" w:rsidRPr="00F6104C">
        <w:rPr>
          <w:sz w:val="24"/>
          <w:szCs w:val="24"/>
        </w:rPr>
        <w:t xml:space="preserve"> </w:t>
      </w:r>
      <w:proofErr w:type="gramStart"/>
      <w:r w:rsidR="00F6104C" w:rsidRPr="00F6104C">
        <w:rPr>
          <w:rFonts w:ascii="Times New Roman" w:hAnsi="Times New Roman"/>
          <w:sz w:val="24"/>
          <w:szCs w:val="24"/>
        </w:rPr>
        <w:t>Контраст-усиленное</w:t>
      </w:r>
      <w:proofErr w:type="gramEnd"/>
      <w:r w:rsidR="00F6104C" w:rsidRPr="00F6104C">
        <w:rPr>
          <w:rFonts w:ascii="Times New Roman" w:hAnsi="Times New Roman"/>
          <w:sz w:val="24"/>
          <w:szCs w:val="24"/>
        </w:rPr>
        <w:t xml:space="preserve"> ультразвуковое исследование (КУУЗИ) является перспективным методом современного неионизирующего метода диагностики, внедрение которого в клиническую практику раскрывает новые возможности исследования очаговых и диффузных заболеваний органов и систем </w:t>
      </w:r>
      <w:r w:rsidR="00F6104C" w:rsidRPr="00F6104C">
        <w:rPr>
          <w:rFonts w:ascii="Times New Roman" w:hAnsi="Times New Roman" w:cs="Times New Roman"/>
          <w:sz w:val="24"/>
          <w:szCs w:val="24"/>
        </w:rPr>
        <w:t>[5,6,7,8].</w:t>
      </w:r>
      <w:r w:rsidR="00F6104C" w:rsidRPr="00F6104C">
        <w:rPr>
          <w:sz w:val="24"/>
          <w:szCs w:val="24"/>
        </w:rPr>
        <w:t xml:space="preserve"> </w:t>
      </w:r>
      <w:r w:rsidR="00F6104C" w:rsidRPr="00F6104C">
        <w:rPr>
          <w:rFonts w:ascii="Times New Roman" w:eastAsia="TimesNewRomanPSMT" w:hAnsi="Times New Roman" w:cs="Times New Roman"/>
          <w:sz w:val="24"/>
          <w:szCs w:val="24"/>
        </w:rPr>
        <w:t>Ключевым моментом</w:t>
      </w:r>
      <w:r w:rsidR="00F6104C" w:rsidRPr="00F6104C">
        <w:rPr>
          <w:rFonts w:ascii="Times New Roman" w:hAnsi="Times New Roman"/>
          <w:sz w:val="24"/>
          <w:szCs w:val="24"/>
        </w:rPr>
        <w:t xml:space="preserve"> КУУЗИ является отсутствие лучевой нагрузки, что позволяет выполнять исследования в динамике.</w:t>
      </w:r>
      <w:r w:rsidR="00F6104C" w:rsidRPr="00F6104C">
        <w:rPr>
          <w:rFonts w:ascii="Times New Roman" w:hAnsi="Times New Roman" w:cs="Times New Roman"/>
          <w:sz w:val="24"/>
          <w:szCs w:val="24"/>
        </w:rPr>
        <w:t xml:space="preserve"> [9,10,11].</w:t>
      </w:r>
      <w:r w:rsidR="00F6104C" w:rsidRPr="00F6104C">
        <w:rPr>
          <w:rFonts w:ascii="Times New Roman" w:hAnsi="Times New Roman"/>
          <w:sz w:val="24"/>
          <w:szCs w:val="24"/>
        </w:rPr>
        <w:t xml:space="preserve"> Важным практическим моментом данного метода является отсутствие необходимости отслеживания болюса и заранее устанавливать временные точки сканирования, что повышает коэффициент комфорта работы с КУУЗИ. Отсутствие </w:t>
      </w:r>
      <w:proofErr w:type="spellStart"/>
      <w:r w:rsidR="00F6104C" w:rsidRPr="00F6104C">
        <w:rPr>
          <w:rFonts w:ascii="Times New Roman" w:hAnsi="Times New Roman"/>
          <w:sz w:val="24"/>
          <w:szCs w:val="24"/>
        </w:rPr>
        <w:t>гепатотоксичности</w:t>
      </w:r>
      <w:proofErr w:type="spellEnd"/>
      <w:r w:rsidR="00F6104C" w:rsidRPr="00F610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6104C" w:rsidRPr="00F6104C">
        <w:rPr>
          <w:rFonts w:ascii="Times New Roman" w:hAnsi="Times New Roman"/>
          <w:sz w:val="24"/>
          <w:szCs w:val="24"/>
        </w:rPr>
        <w:t>нефротоксичности</w:t>
      </w:r>
      <w:proofErr w:type="spellEnd"/>
      <w:r w:rsidR="00F6104C" w:rsidRPr="00F6104C">
        <w:rPr>
          <w:rFonts w:ascii="Times New Roman" w:hAnsi="Times New Roman"/>
          <w:sz w:val="24"/>
          <w:szCs w:val="24"/>
        </w:rPr>
        <w:t xml:space="preserve"> ультразвуковых контрастных препаратов (УЗКП) допускают применение их у пациентов с тяжелой патологией почек без риска осложнений [12,13,14,]. По мере прогрессирования хронической болезни почек происходит пикирование функции нефронов, что ведет к изменению </w:t>
      </w:r>
      <w:proofErr w:type="spellStart"/>
      <w:r w:rsidR="00F6104C" w:rsidRPr="00F6104C">
        <w:rPr>
          <w:rFonts w:ascii="Times New Roman" w:hAnsi="Times New Roman"/>
          <w:sz w:val="24"/>
          <w:szCs w:val="24"/>
        </w:rPr>
        <w:t>гистоархетиктоники</w:t>
      </w:r>
      <w:proofErr w:type="spellEnd"/>
      <w:r w:rsidR="00F6104C" w:rsidRPr="00F6104C">
        <w:rPr>
          <w:rFonts w:ascii="Times New Roman" w:hAnsi="Times New Roman"/>
          <w:sz w:val="24"/>
          <w:szCs w:val="24"/>
        </w:rPr>
        <w:t xml:space="preserve"> почек, а, следовательно, и потере первичной функции </w:t>
      </w:r>
      <w:r w:rsidR="00F6104C" w:rsidRPr="00F6104C">
        <w:rPr>
          <w:rFonts w:ascii="Times New Roman" w:hAnsi="Times New Roman"/>
          <w:color w:val="000000"/>
          <w:sz w:val="24"/>
          <w:szCs w:val="24"/>
        </w:rPr>
        <w:t>[15,16</w:t>
      </w:r>
      <w:r w:rsidR="00F6104C" w:rsidRPr="00F6104C">
        <w:rPr>
          <w:rFonts w:ascii="Times New Roman" w:hAnsi="Times New Roman"/>
          <w:sz w:val="24"/>
          <w:szCs w:val="24"/>
        </w:rPr>
        <w:t>]. Это важно для своевременной и точной постановки диагноза, а в дальнейшем для выбора стратегических лечебных мероприятий и более детального прогноза.</w:t>
      </w:r>
      <w:bookmarkStart w:id="0" w:name="_GoBack"/>
      <w:bookmarkEnd w:id="0"/>
    </w:p>
    <w:p w:rsidR="00293770" w:rsidRPr="00E21DC1" w:rsidRDefault="00293770" w:rsidP="00EE30BD">
      <w:pPr>
        <w:tabs>
          <w:tab w:val="left" w:pos="9356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4F168B" w:rsidRPr="00AC4299" w:rsidRDefault="004F168B" w:rsidP="00EE30BD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исследования: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7459">
        <w:rPr>
          <w:rFonts w:ascii="Times New Roman" w:hAnsi="Times New Roman" w:cs="Times New Roman"/>
          <w:sz w:val="24"/>
          <w:szCs w:val="24"/>
        </w:rPr>
        <w:t xml:space="preserve">ценить </w:t>
      </w:r>
      <w:r>
        <w:rPr>
          <w:rFonts w:ascii="Times New Roman" w:hAnsi="Times New Roman" w:cs="Times New Roman"/>
          <w:sz w:val="24"/>
          <w:szCs w:val="24"/>
        </w:rPr>
        <w:t>диагностический потенциал</w:t>
      </w:r>
      <w:r w:rsidRPr="00127459">
        <w:rPr>
          <w:rFonts w:ascii="Times New Roman" w:hAnsi="Times New Roman" w:cs="Times New Roman"/>
          <w:sz w:val="24"/>
          <w:szCs w:val="24"/>
        </w:rPr>
        <w:t xml:space="preserve"> методики контраст усиленного ультразвукового исследования почек для пациентов с </w:t>
      </w:r>
      <w:r w:rsidR="00AC4299">
        <w:rPr>
          <w:rFonts w:ascii="Times New Roman" w:hAnsi="Times New Roman" w:cs="Times New Roman"/>
          <w:sz w:val="24"/>
          <w:szCs w:val="24"/>
        </w:rPr>
        <w:t>диабетической нефропатией.</w:t>
      </w:r>
    </w:p>
    <w:p w:rsidR="004F168B" w:rsidRPr="002B5E03" w:rsidRDefault="004F168B" w:rsidP="00EE30B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5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Материалы и методы:</w:t>
      </w:r>
    </w:p>
    <w:p w:rsidR="004F168B" w:rsidRPr="002B5E03" w:rsidRDefault="004F168B" w:rsidP="00EE30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2019-2020 гг. на базе Проблемной научно-исследовательской лаборатории «Диагностические исследования и малоинвазивные технологии» СГМУ (г. Смоленск) было исследовано </w:t>
      </w:r>
      <w:r w:rsidR="00AC4299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2B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пациентов многопрофильного стационара в возрасте </w:t>
      </w:r>
      <w:r w:rsidR="005F0381">
        <w:rPr>
          <w:rFonts w:ascii="Times New Roman" w:hAnsi="Times New Roman" w:cs="Times New Roman"/>
          <w:color w:val="000000" w:themeColor="text1"/>
          <w:sz w:val="24"/>
          <w:szCs w:val="24"/>
        </w:rPr>
        <w:t>35-5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2B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лет (средний возраст – </w:t>
      </w:r>
      <w:r w:rsidR="005F0381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Pr="002B5E03">
        <w:rPr>
          <w:rFonts w:ascii="Times New Roman" w:hAnsi="Times New Roman" w:cs="Times New Roman"/>
          <w:color w:val="000000" w:themeColor="text1"/>
          <w:sz w:val="24"/>
          <w:szCs w:val="24"/>
        </w:rPr>
        <w:t>±</w:t>
      </w:r>
      <w:r w:rsidR="005F0381">
        <w:rPr>
          <w:rFonts w:ascii="Times New Roman" w:hAnsi="Times New Roman" w:cs="Times New Roman"/>
          <w:color w:val="000000" w:themeColor="text1"/>
          <w:sz w:val="24"/>
          <w:szCs w:val="24"/>
        </w:rPr>
        <w:t>1,9</w:t>
      </w:r>
      <w:r w:rsidRPr="002B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C4299">
        <w:rPr>
          <w:rFonts w:ascii="Times New Roman" w:hAnsi="Times New Roman" w:cs="Times New Roman"/>
          <w:color w:val="000000" w:themeColor="text1"/>
          <w:sz w:val="24"/>
          <w:szCs w:val="24"/>
        </w:rPr>
        <w:t>ет), из них 7 мужчин (50%) и 7 женщин (50</w:t>
      </w:r>
      <w:r w:rsidRPr="002B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%). </w:t>
      </w:r>
    </w:p>
    <w:p w:rsidR="004F168B" w:rsidRPr="002B5E03" w:rsidRDefault="004F168B" w:rsidP="00EE30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E03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включения: согласие на участие в исследовании; наличие клинически подтвержденного СД 2 типа (</w:t>
      </w:r>
      <w:r w:rsidRPr="002B5E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уровень </w:t>
      </w:r>
      <w:proofErr w:type="spellStart"/>
      <w:r w:rsidRPr="002B5E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гликированного</w:t>
      </w:r>
      <w:proofErr w:type="spellEnd"/>
      <w:r w:rsidRPr="002B5E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гемоглобина ≥6,5%)</w:t>
      </w:r>
      <w:r w:rsidRPr="002B5E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168B" w:rsidRPr="002B5E03" w:rsidRDefault="004F168B" w:rsidP="00EE30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пациенты были исследованы по единому диагностическому алгоритму, который включал в себя </w:t>
      </w:r>
      <w:r w:rsidR="000B410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B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этапа:</w:t>
      </w:r>
    </w:p>
    <w:p w:rsidR="004F168B" w:rsidRPr="00EE1197" w:rsidRDefault="000B4104" w:rsidP="00EE30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этап. Ультразвуковое исследование почек (</w:t>
      </w:r>
      <w:proofErr w:type="spellStart"/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Aloka</w:t>
      </w:r>
      <w:proofErr w:type="spellEnd"/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Hitachi</w:t>
      </w:r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Arietta</w:t>
      </w:r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850</w:t>
      </w:r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 (</w:t>
      </w:r>
      <w:proofErr w:type="spellStart"/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Hitachi</w:t>
      </w:r>
      <w:proofErr w:type="spellEnd"/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 </w:t>
      </w:r>
      <w:proofErr w:type="spellStart"/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Medical</w:t>
      </w:r>
      <w:proofErr w:type="spellEnd"/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 </w:t>
      </w:r>
      <w:proofErr w:type="spellStart"/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Corporation</w:t>
      </w:r>
      <w:proofErr w:type="spellEnd"/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, Япония) </w:t>
      </w:r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В-режиме с оценкой размеров правой и левой почек (мм), </w:t>
      </w:r>
      <w:proofErr w:type="spellStart"/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эхогенности</w:t>
      </w:r>
      <w:proofErr w:type="spellEnd"/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звукопроводимости, визуализации крупных и мелких сосудов </w:t>
      </w:r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 метода цветового допплеровского картирования (ЦДК). </w:t>
      </w:r>
      <w:r w:rsidR="006D6473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(Рис.1</w:t>
      </w:r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Для изображения сосудов почки в режимах ЦДК использовалась индивидуальная настройка </w:t>
      </w:r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параметров для выявления допплеровских сигналов малой интенсивности. Проводилась</w:t>
      </w:r>
      <w:r w:rsidR="004F168B" w:rsidRPr="00EE1197">
        <w:rPr>
          <w:color w:val="000000" w:themeColor="text1"/>
        </w:rPr>
        <w:t xml:space="preserve"> </w:t>
      </w:r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качественная оценка кровотока почек по продольной оси. Для оценки васкуляризации паренхимы почек у пациентов с СД 2 типа в исследовании применялась пятибалльная шкала </w:t>
      </w:r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Bertolotto</w:t>
      </w:r>
      <w:proofErr w:type="spellEnd"/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усовершенствованная </w:t>
      </w:r>
      <w:r w:rsidR="00AC4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профессором </w:t>
      </w:r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А.В. </w:t>
      </w:r>
      <w:proofErr w:type="spellStart"/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Борсуковым</w:t>
      </w:r>
      <w:proofErr w:type="spellEnd"/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, Е.Ю. Козловой</w:t>
      </w:r>
      <w:r w:rsidR="004F168B" w:rsidRPr="002D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D7DF7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[10</w:t>
      </w:r>
      <w:r w:rsidR="004F168B" w:rsidRPr="002D7DF7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].</w:t>
      </w:r>
      <w:r w:rsidR="004F168B" w:rsidRPr="00EE1197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</w:t>
      </w:r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данной шкале выделяют типы от 0 до 4 в зависимости от степени васкуляризации сосудов </w:t>
      </w:r>
      <w:r w:rsidR="004F168B" w:rsidRPr="00EE1197">
        <w:rPr>
          <w:rFonts w:ascii="Times New Roman" w:hAnsi="Times New Roman" w:cs="Times New Roman"/>
          <w:sz w:val="24"/>
          <w:szCs w:val="24"/>
        </w:rPr>
        <w:t xml:space="preserve">(норма – тип 0, усиление – тип 1, снижение минимальное – тип 2, снижение умеренное − тип 3, снижение максимальное – тип 4). </w:t>
      </w:r>
      <w:r w:rsidR="006D6473" w:rsidRPr="00EE1197">
        <w:rPr>
          <w:rFonts w:ascii="Times New Roman" w:hAnsi="Times New Roman" w:cs="Times New Roman"/>
          <w:sz w:val="24"/>
          <w:szCs w:val="24"/>
        </w:rPr>
        <w:t>(Рис. 2</w:t>
      </w:r>
      <w:r w:rsidR="004F168B" w:rsidRPr="00EE1197">
        <w:rPr>
          <w:rFonts w:ascii="Times New Roman" w:hAnsi="Times New Roman" w:cs="Times New Roman"/>
          <w:sz w:val="24"/>
          <w:szCs w:val="24"/>
        </w:rPr>
        <w:t>).</w:t>
      </w:r>
      <w:r w:rsidR="004F168B" w:rsidRPr="00EE1197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</w:p>
    <w:p w:rsidR="004F168B" w:rsidRPr="00EE1197" w:rsidRDefault="000B4104" w:rsidP="00EE30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этап. </w:t>
      </w:r>
      <w:proofErr w:type="gramStart"/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Контраст-усиленное</w:t>
      </w:r>
      <w:proofErr w:type="gramEnd"/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ультразвуковое исследование (КУУЗИ) почек, в соответствии с Европейскими рекомендациями для клинической практики по контраст-усиленному ультразвуковому исследованию </w:t>
      </w:r>
      <w:r w:rsidR="002D7DF7" w:rsidRPr="002D7DF7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[4</w:t>
      </w:r>
      <w:r w:rsidR="004F168B" w:rsidRPr="002D7DF7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].</w:t>
      </w:r>
    </w:p>
    <w:p w:rsidR="004F168B" w:rsidRPr="00EE1197" w:rsidRDefault="004F168B" w:rsidP="00EE30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</w:pPr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КУУЗИ почек проводили на </w:t>
      </w:r>
      <w:proofErr w:type="gramStart"/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УЗ-аппарате</w:t>
      </w:r>
      <w:proofErr w:type="gramEnd"/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Aloka</w:t>
      </w:r>
      <w:proofErr w:type="spellEnd"/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Hitachi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Arietta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850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 (</w:t>
      </w:r>
      <w:proofErr w:type="spellStart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Hitachi</w:t>
      </w:r>
      <w:proofErr w:type="spellEnd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 </w:t>
      </w:r>
      <w:proofErr w:type="spellStart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Medical</w:t>
      </w:r>
      <w:proofErr w:type="spellEnd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 </w:t>
      </w:r>
      <w:proofErr w:type="spellStart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Corporation</w:t>
      </w:r>
      <w:proofErr w:type="spellEnd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, Япония) в режиме с низкоамплитудным механическим индексом 0,06 и </w:t>
      </w:r>
      <w:proofErr w:type="spellStart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конвексным</w:t>
      </w:r>
      <w:proofErr w:type="spellEnd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 датчиком 3-6 МГц. Для проведения настоящего исследования использовался </w:t>
      </w:r>
      <w:proofErr w:type="spellStart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эхоконтрастный</w:t>
      </w:r>
      <w:proofErr w:type="spellEnd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 препарат 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SonoVue</w:t>
      </w:r>
      <w:proofErr w:type="spellEnd"/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 (</w:t>
      </w:r>
      <w:proofErr w:type="spellStart"/>
      <w:r w:rsidRPr="00EE1197">
        <w:rPr>
          <w:rFonts w:ascii="Times New Roman" w:hAnsi="Times New Roman" w:cs="Times New Roman"/>
          <w:sz w:val="24"/>
          <w:szCs w:val="24"/>
        </w:rPr>
        <w:t>Bracco</w:t>
      </w:r>
      <w:proofErr w:type="spellEnd"/>
      <w:r w:rsidRPr="00EE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197">
        <w:rPr>
          <w:rFonts w:ascii="Times New Roman" w:hAnsi="Times New Roman" w:cs="Times New Roman"/>
          <w:sz w:val="24"/>
          <w:szCs w:val="24"/>
        </w:rPr>
        <w:t>Swiss</w:t>
      </w:r>
      <w:proofErr w:type="spellEnd"/>
      <w:r w:rsidRPr="00EE1197">
        <w:rPr>
          <w:rFonts w:ascii="Times New Roman" w:hAnsi="Times New Roman" w:cs="Times New Roman"/>
          <w:sz w:val="24"/>
          <w:szCs w:val="24"/>
        </w:rPr>
        <w:t xml:space="preserve"> S.A., Швейцария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). Данный препарат представляет собой </w:t>
      </w:r>
      <w:proofErr w:type="spellStart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лиофилизированный</w:t>
      </w:r>
      <w:proofErr w:type="spellEnd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 порошок </w:t>
      </w:r>
      <w:proofErr w:type="spellStart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гексафторида</w:t>
      </w:r>
      <w:proofErr w:type="spellEnd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 серы, 1,5 мг, который необходимо растворить в 5,0 мл растворителя 0,9%-</w:t>
      </w:r>
      <w:proofErr w:type="spellStart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го</w:t>
      </w:r>
      <w:proofErr w:type="spellEnd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 раствора натрия хлорида.  Перед началом каждого исследования всем пациентам проводилось ультразвуковое исследование почек для определения  органической патологии и в дальнейшем, стратегии формата проведения КУУЗИ почек (правой или левой).  Свежеприготовленный раствор вводили внутривенно струйно через локтевую вену (</w:t>
      </w:r>
      <w:r w:rsidRPr="00EE1197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v. </w:t>
      </w:r>
      <w:proofErr w:type="spellStart"/>
      <w:r w:rsidRPr="00EE1197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ulnaris</w:t>
      </w:r>
      <w:proofErr w:type="spellEnd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), используя </w:t>
      </w:r>
      <w:proofErr w:type="spellStart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двухпортовый</w:t>
      </w:r>
      <w:proofErr w:type="spellEnd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 периферический венозный катетер G19 (диаметр 0,9 мм). Для достижения более стремительного результата болюсного введения эхоконтраста дополнительно вводили 5,0 мл 0,9%-</w:t>
      </w:r>
      <w:proofErr w:type="spellStart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го</w:t>
      </w:r>
      <w:proofErr w:type="spellEnd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 раствора натрия хлорида. Во время исследования оценивали качественные показатели, где оценивали однородность/неоднородность контрастирования, симметричность накопления эхоконтрастного препарата в корковом и мозговом слоях, однородность/неоднородность вымывания эхоконтрастного препарата и симметричность/асимметричность вымывания контрастного препарата. Также, данные показатели можно просмотреть в режиме 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  <w:lang w:val="en-US"/>
        </w:rPr>
        <w:t>off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-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  <w:lang w:val="en-US"/>
        </w:rPr>
        <w:t>line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, путем анализа, записанных ранее видеопетель.  После окончания исследования оценивались количественные показатели КУУЗИ путем построения кривых «интенсивность — время для оценки накопления (</w:t>
      </w:r>
      <w:proofErr w:type="spellStart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was-in</w:t>
      </w:r>
      <w:proofErr w:type="spellEnd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) / вымывания контрастного препарата (</w:t>
      </w:r>
      <w:proofErr w:type="spellStart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wash-out</w:t>
      </w:r>
      <w:proofErr w:type="spellEnd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)», где анализировали начало артериальной и венозной фаз. </w:t>
      </w:r>
      <w:r w:rsidR="006D6473"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(Рис. 3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). По завершении исследования оценивали количественные показатели КУУЗИ путем построения кривых для оценки накопления (</w:t>
      </w:r>
      <w:proofErr w:type="spellStart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was-in</w:t>
      </w:r>
      <w:proofErr w:type="spellEnd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) / вымывания контрастного препарата (</w:t>
      </w:r>
      <w:proofErr w:type="spellStart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wash-out</w:t>
      </w:r>
      <w:proofErr w:type="spellEnd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). Были проанализированы </w:t>
      </w:r>
      <w:proofErr w:type="spellStart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кортико</w:t>
      </w:r>
      <w:proofErr w:type="spellEnd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-медуллярная (артериальная) и паренхиматозная (венозная) фазы контрастирования. На основании результатов, полученных после проведения КУУЗИ почек, пациенты были разделены на 2 группы: 1 группа -  пациенты с </w:t>
      </w:r>
      <w:r w:rsidR="00AC42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диабетической нефропатией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 с наличием ангионефросклероза; 2 группа – с наличием </w:t>
      </w:r>
      <w:r w:rsidR="00AC42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диабетической нефропатией</w:t>
      </w:r>
      <w:r w:rsidR="00AC4299"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 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типа без ангионефросклероза. </w:t>
      </w:r>
      <w:r w:rsidR="006D6473"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(Рис.4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). Пациенты обеих групп получали по 2,5  мл эхоконтрастного препарата. (Табл. 1.) </w:t>
      </w:r>
    </w:p>
    <w:p w:rsidR="004F168B" w:rsidRPr="00EE1197" w:rsidRDefault="004F168B" w:rsidP="00EE30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</w:pPr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МР-ангиография, проведенная на магнитно-резонансном томографе 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  <w:lang w:val="en-US"/>
        </w:rPr>
        <w:t>Vantage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 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  <w:lang w:val="en-US"/>
        </w:rPr>
        <w:t>Titan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 (1,5 Т) в данном исследовании являлась </w:t>
      </w:r>
      <w:proofErr w:type="spellStart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референтным</w:t>
      </w:r>
      <w:proofErr w:type="spellEnd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 методом, биопсия почек не проводилась.</w:t>
      </w:r>
    </w:p>
    <w:p w:rsidR="004F168B" w:rsidRPr="00EE1197" w:rsidRDefault="004F168B" w:rsidP="00EE30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68B" w:rsidRDefault="004F168B" w:rsidP="00EE30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Таблица 1. Распределение больных основных групп по возрасту и полу</w:t>
      </w:r>
    </w:p>
    <w:p w:rsidR="00AC4299" w:rsidRPr="00EE1197" w:rsidRDefault="00AC4299" w:rsidP="00EE30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33"/>
        <w:gridCol w:w="961"/>
        <w:gridCol w:w="957"/>
        <w:gridCol w:w="961"/>
        <w:gridCol w:w="957"/>
        <w:gridCol w:w="961"/>
        <w:gridCol w:w="957"/>
        <w:gridCol w:w="1915"/>
      </w:tblGrid>
      <w:tr w:rsidR="004F168B" w:rsidRPr="00EE1197" w:rsidTr="00BF7CF2">
        <w:trPr>
          <w:jc w:val="center"/>
        </w:trPr>
        <w:tc>
          <w:tcPr>
            <w:tcW w:w="1633" w:type="dxa"/>
            <w:vMerge w:val="restart"/>
          </w:tcPr>
          <w:p w:rsidR="004F168B" w:rsidRPr="00EE1197" w:rsidRDefault="004F168B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1918" w:type="dxa"/>
            <w:gridSpan w:val="2"/>
          </w:tcPr>
          <w:p w:rsidR="004F168B" w:rsidRPr="00EE1197" w:rsidRDefault="004F168B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Женщин</w:t>
            </w:r>
          </w:p>
        </w:tc>
        <w:tc>
          <w:tcPr>
            <w:tcW w:w="1918" w:type="dxa"/>
            <w:gridSpan w:val="2"/>
          </w:tcPr>
          <w:p w:rsidR="004F168B" w:rsidRPr="00EE1197" w:rsidRDefault="004F168B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Мужчин</w:t>
            </w:r>
          </w:p>
        </w:tc>
        <w:tc>
          <w:tcPr>
            <w:tcW w:w="1918" w:type="dxa"/>
            <w:gridSpan w:val="2"/>
          </w:tcPr>
          <w:p w:rsidR="004F168B" w:rsidRPr="00EE1197" w:rsidRDefault="004F168B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915" w:type="dxa"/>
          </w:tcPr>
          <w:p w:rsidR="004F168B" w:rsidRPr="00EE1197" w:rsidRDefault="004F168B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возраст</w:t>
            </w:r>
          </w:p>
        </w:tc>
      </w:tr>
      <w:tr w:rsidR="004F168B" w:rsidRPr="00EE1197" w:rsidTr="00BF7CF2">
        <w:trPr>
          <w:jc w:val="center"/>
        </w:trPr>
        <w:tc>
          <w:tcPr>
            <w:tcW w:w="1633" w:type="dxa"/>
            <w:vMerge/>
          </w:tcPr>
          <w:p w:rsidR="004F168B" w:rsidRPr="00EE1197" w:rsidRDefault="004F168B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1" w:type="dxa"/>
          </w:tcPr>
          <w:p w:rsidR="004F168B" w:rsidRPr="00EE1197" w:rsidRDefault="004F168B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1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Абс</w:t>
            </w:r>
            <w:proofErr w:type="spellEnd"/>
            <w:r w:rsidRPr="00EE1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4F168B" w:rsidRPr="00EE1197" w:rsidRDefault="004F168B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61" w:type="dxa"/>
          </w:tcPr>
          <w:p w:rsidR="004F168B" w:rsidRPr="00EE1197" w:rsidRDefault="004F168B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1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Абс</w:t>
            </w:r>
            <w:proofErr w:type="spellEnd"/>
            <w:r w:rsidRPr="00EE1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4F168B" w:rsidRPr="00EE1197" w:rsidRDefault="004F168B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61" w:type="dxa"/>
          </w:tcPr>
          <w:p w:rsidR="004F168B" w:rsidRPr="00EE1197" w:rsidRDefault="004F168B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1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Абс</w:t>
            </w:r>
            <w:proofErr w:type="spellEnd"/>
            <w:r w:rsidRPr="00EE1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4F168B" w:rsidRPr="00EE1197" w:rsidRDefault="004F168B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4F168B" w:rsidRPr="00EE1197" w:rsidRDefault="004F168B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68B" w:rsidRPr="00EE1197" w:rsidTr="00BF7CF2">
        <w:trPr>
          <w:jc w:val="center"/>
        </w:trPr>
        <w:tc>
          <w:tcPr>
            <w:tcW w:w="1633" w:type="dxa"/>
          </w:tcPr>
          <w:p w:rsidR="004F168B" w:rsidRPr="00EE1197" w:rsidRDefault="004F168B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F168B" w:rsidRPr="00EE1197" w:rsidRDefault="004F168B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1" w:type="dxa"/>
          </w:tcPr>
          <w:p w:rsidR="004F168B" w:rsidRPr="00EE1197" w:rsidRDefault="00AC4299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4F168B" w:rsidRPr="00EE1197" w:rsidRDefault="00AC4299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61" w:type="dxa"/>
          </w:tcPr>
          <w:p w:rsidR="004F168B" w:rsidRPr="00EE1197" w:rsidRDefault="00AC4299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4F168B" w:rsidRPr="00EE1197" w:rsidRDefault="00AC4299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61" w:type="dxa"/>
          </w:tcPr>
          <w:p w:rsidR="004F168B" w:rsidRPr="00EE1197" w:rsidRDefault="00105125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4F168B" w:rsidRPr="00EE1197" w:rsidRDefault="00AC4299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915" w:type="dxa"/>
          </w:tcPr>
          <w:p w:rsidR="004F168B" w:rsidRPr="00EE1197" w:rsidRDefault="00AC4299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4F168B" w:rsidRPr="00EE1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,5±1,5</w:t>
            </w:r>
          </w:p>
        </w:tc>
      </w:tr>
      <w:tr w:rsidR="004F168B" w:rsidRPr="00EE1197" w:rsidTr="00BF7CF2">
        <w:trPr>
          <w:jc w:val="center"/>
        </w:trPr>
        <w:tc>
          <w:tcPr>
            <w:tcW w:w="1633" w:type="dxa"/>
          </w:tcPr>
          <w:p w:rsidR="004F168B" w:rsidRPr="00EE1197" w:rsidRDefault="004F168B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4F168B" w:rsidRPr="00EE1197" w:rsidRDefault="004F168B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1" w:type="dxa"/>
          </w:tcPr>
          <w:p w:rsidR="004F168B" w:rsidRPr="00EE1197" w:rsidRDefault="00AC4299" w:rsidP="00EE30BD">
            <w:pPr>
              <w:tabs>
                <w:tab w:val="left" w:pos="73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F168B" w:rsidRPr="00EE1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F168B" w:rsidRPr="00EE1197" w:rsidRDefault="00AC4299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61" w:type="dxa"/>
          </w:tcPr>
          <w:p w:rsidR="004F168B" w:rsidRPr="00EE1197" w:rsidRDefault="00AC4299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4F168B" w:rsidRPr="00EE1197" w:rsidRDefault="00AC4299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61" w:type="dxa"/>
          </w:tcPr>
          <w:p w:rsidR="004F168B" w:rsidRPr="00EE1197" w:rsidRDefault="00AC4299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4F168B" w:rsidRPr="00EE1197" w:rsidRDefault="00AC4299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915" w:type="dxa"/>
          </w:tcPr>
          <w:p w:rsidR="004F168B" w:rsidRPr="00EE1197" w:rsidRDefault="00AC4299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4F168B" w:rsidRPr="00EE1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,7±1,8</w:t>
            </w:r>
          </w:p>
        </w:tc>
      </w:tr>
      <w:tr w:rsidR="004F168B" w:rsidRPr="00EE1197" w:rsidTr="00BF7CF2">
        <w:trPr>
          <w:jc w:val="center"/>
        </w:trPr>
        <w:tc>
          <w:tcPr>
            <w:tcW w:w="1633" w:type="dxa"/>
          </w:tcPr>
          <w:p w:rsidR="004F168B" w:rsidRPr="00EE1197" w:rsidRDefault="004F168B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  <w:p w:rsidR="004F168B" w:rsidRPr="00EE1197" w:rsidRDefault="004F168B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1" w:type="dxa"/>
          </w:tcPr>
          <w:p w:rsidR="004F168B" w:rsidRPr="00EE1197" w:rsidRDefault="00AC4299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4F168B" w:rsidRPr="00EE1197" w:rsidRDefault="00AC4299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61" w:type="dxa"/>
          </w:tcPr>
          <w:p w:rsidR="004F168B" w:rsidRPr="00EE1197" w:rsidRDefault="00AC4299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4F168B" w:rsidRPr="00EE1197" w:rsidRDefault="00AC4299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61" w:type="dxa"/>
          </w:tcPr>
          <w:p w:rsidR="004F168B" w:rsidRPr="00EE1197" w:rsidRDefault="00AC4299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4F168B" w:rsidRPr="00EE1197" w:rsidRDefault="004F168B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F168B" w:rsidRPr="00EE1197" w:rsidRDefault="00AC4299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="00105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±1,9</w:t>
            </w:r>
          </w:p>
        </w:tc>
      </w:tr>
    </w:tbl>
    <w:p w:rsidR="004F168B" w:rsidRPr="00EE1197" w:rsidRDefault="004F168B" w:rsidP="00EE30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68B" w:rsidRPr="00EE1197" w:rsidRDefault="004F168B" w:rsidP="00EE30BD">
      <w:pPr>
        <w:pStyle w:val="a4"/>
        <w:shd w:val="clear" w:color="auto" w:fill="FCFDFD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</w:p>
    <w:p w:rsidR="004F168B" w:rsidRPr="00EE1197" w:rsidRDefault="004F168B" w:rsidP="00EE30BD">
      <w:pPr>
        <w:spacing w:after="0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19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17348DA" wp14:editId="4EBEAC5C">
            <wp:extent cx="2371725" cy="2862872"/>
            <wp:effectExtent l="0" t="0" r="0" b="0"/>
            <wp:docPr id="7" name="Рисунок 7" descr="C:\Users\пк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6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8B" w:rsidRPr="00EE1197" w:rsidRDefault="004F168B" w:rsidP="00EE30BD">
      <w:pPr>
        <w:spacing w:after="0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68B" w:rsidRPr="00EE1197" w:rsidRDefault="000B4104" w:rsidP="00EE30BD">
      <w:pPr>
        <w:spacing w:after="0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Рис. </w:t>
      </w:r>
      <w:r w:rsidR="006D6473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Ультразвуковое исследование сосудов правой почки с умеренной </w:t>
      </w:r>
      <w:proofErr w:type="spellStart"/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гипоперфузией</w:t>
      </w:r>
      <w:proofErr w:type="spellEnd"/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(цветовое допплеровское картирование). Тип – 4 по пятибалльной шкале </w:t>
      </w:r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Bertolotto</w:t>
      </w:r>
      <w:proofErr w:type="spellEnd"/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168B" w:rsidRPr="00EE1197" w:rsidRDefault="004F168B" w:rsidP="00EE30BD">
      <w:pPr>
        <w:spacing w:after="0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190"/>
        <w:gridCol w:w="4181"/>
      </w:tblGrid>
      <w:tr w:rsidR="004F168B" w:rsidRPr="00EE1197" w:rsidTr="00BF7CF2">
        <w:tc>
          <w:tcPr>
            <w:tcW w:w="1384" w:type="dxa"/>
          </w:tcPr>
          <w:p w:rsidR="004F168B" w:rsidRPr="00EE1197" w:rsidRDefault="004F168B" w:rsidP="00EE30BD">
            <w:pPr>
              <w:spacing w:line="276" w:lineRule="auto"/>
              <w:ind w:right="56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EE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Тип</w:t>
            </w:r>
          </w:p>
        </w:tc>
        <w:tc>
          <w:tcPr>
            <w:tcW w:w="3190" w:type="dxa"/>
          </w:tcPr>
          <w:p w:rsidR="004F168B" w:rsidRPr="00EE1197" w:rsidRDefault="004F168B" w:rsidP="00EE30BD">
            <w:pPr>
              <w:spacing w:line="276" w:lineRule="auto"/>
              <w:ind w:right="56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EE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Схема</w:t>
            </w:r>
          </w:p>
        </w:tc>
        <w:tc>
          <w:tcPr>
            <w:tcW w:w="4181" w:type="dxa"/>
          </w:tcPr>
          <w:p w:rsidR="004F168B" w:rsidRPr="00EE1197" w:rsidRDefault="004F168B" w:rsidP="00EE30BD">
            <w:pPr>
              <w:spacing w:line="276" w:lineRule="auto"/>
              <w:ind w:right="56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EE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Характеристика</w:t>
            </w:r>
          </w:p>
        </w:tc>
      </w:tr>
      <w:tr w:rsidR="004F168B" w:rsidRPr="00EE1197" w:rsidTr="00BF7CF2">
        <w:tc>
          <w:tcPr>
            <w:tcW w:w="1384" w:type="dxa"/>
          </w:tcPr>
          <w:p w:rsidR="004F168B" w:rsidRPr="00EE1197" w:rsidRDefault="004F168B" w:rsidP="00EE30BD">
            <w:pPr>
              <w:spacing w:line="276" w:lineRule="auto"/>
              <w:ind w:right="56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Тип 0</w:t>
            </w:r>
          </w:p>
        </w:tc>
        <w:tc>
          <w:tcPr>
            <w:tcW w:w="3190" w:type="dxa"/>
          </w:tcPr>
          <w:p w:rsidR="004F168B" w:rsidRPr="00EE1197" w:rsidRDefault="004F168B" w:rsidP="00EE30BD">
            <w:pPr>
              <w:spacing w:line="276" w:lineRule="auto"/>
              <w:ind w:right="56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EE119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4"/>
                <w:lang w:eastAsia="ru-RU"/>
              </w:rPr>
              <w:drawing>
                <wp:inline distT="0" distB="0" distL="0" distR="0" wp14:anchorId="03E7251C" wp14:editId="558754EC">
                  <wp:extent cx="1371600" cy="930729"/>
                  <wp:effectExtent l="0" t="0" r="0" b="3175"/>
                  <wp:docPr id="12" name="Рисунок 12" descr="C:\Users\пк\Desktop\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esktop\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30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4F168B" w:rsidRPr="00EE1197" w:rsidRDefault="004F168B" w:rsidP="00EE30BD">
            <w:pPr>
              <w:spacing w:line="276" w:lineRule="auto"/>
              <w:ind w:right="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В норме прослеживаются все сосуды почечного синуса и не менее 90% структур паренхиматозного слоя почки (общая почечная артерия, сегментарные, </w:t>
            </w:r>
            <w:proofErr w:type="spellStart"/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междолевые</w:t>
            </w:r>
            <w:proofErr w:type="spellEnd"/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, дуговые, </w:t>
            </w:r>
            <w:proofErr w:type="spellStart"/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междольковые</w:t>
            </w:r>
            <w:proofErr w:type="spellEnd"/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)</w:t>
            </w:r>
          </w:p>
        </w:tc>
      </w:tr>
      <w:tr w:rsidR="004F168B" w:rsidRPr="00EE1197" w:rsidTr="00BF7CF2">
        <w:tc>
          <w:tcPr>
            <w:tcW w:w="1384" w:type="dxa"/>
          </w:tcPr>
          <w:p w:rsidR="004F168B" w:rsidRPr="00EE1197" w:rsidRDefault="004F168B" w:rsidP="00EE30BD">
            <w:pPr>
              <w:spacing w:line="276" w:lineRule="auto"/>
              <w:ind w:right="56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Тип 1</w:t>
            </w:r>
          </w:p>
        </w:tc>
        <w:tc>
          <w:tcPr>
            <w:tcW w:w="3190" w:type="dxa"/>
          </w:tcPr>
          <w:p w:rsidR="004F168B" w:rsidRPr="00EE1197" w:rsidRDefault="004F168B" w:rsidP="00EE30BD">
            <w:pPr>
              <w:spacing w:line="276" w:lineRule="auto"/>
              <w:ind w:right="56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EE119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4"/>
                <w:lang w:eastAsia="ru-RU"/>
              </w:rPr>
              <w:drawing>
                <wp:inline distT="0" distB="0" distL="0" distR="0" wp14:anchorId="43D1D2F3" wp14:editId="63969FB9">
                  <wp:extent cx="1371600" cy="936302"/>
                  <wp:effectExtent l="0" t="0" r="0" b="0"/>
                  <wp:docPr id="14" name="Рисунок 14" descr="C:\Users\пк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к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36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4F168B" w:rsidRPr="00EE1197" w:rsidRDefault="004F168B" w:rsidP="00EE30BD">
            <w:pPr>
              <w:spacing w:line="276" w:lineRule="auto"/>
              <w:ind w:right="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 исследовании в режиме </w:t>
            </w:r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Gain</w:t>
            </w:r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– определяется общая почечная артерия, сегментарные; </w:t>
            </w:r>
            <w:proofErr w:type="spellStart"/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междолевые</w:t>
            </w:r>
            <w:proofErr w:type="spellEnd"/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артерии сосудистого русла четко не оцениваются из-за слияния цветовых зон в одну цветовую зону с разнонаправленным турбулентным кровотоком</w:t>
            </w:r>
          </w:p>
        </w:tc>
      </w:tr>
      <w:tr w:rsidR="004F168B" w:rsidRPr="00EE1197" w:rsidTr="00BF7CF2">
        <w:tc>
          <w:tcPr>
            <w:tcW w:w="1384" w:type="dxa"/>
          </w:tcPr>
          <w:p w:rsidR="004F168B" w:rsidRPr="00EE1197" w:rsidRDefault="004F168B" w:rsidP="00EE30BD">
            <w:pPr>
              <w:spacing w:line="276" w:lineRule="auto"/>
              <w:ind w:right="56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Тип 2</w:t>
            </w:r>
          </w:p>
        </w:tc>
        <w:tc>
          <w:tcPr>
            <w:tcW w:w="3190" w:type="dxa"/>
          </w:tcPr>
          <w:p w:rsidR="004F168B" w:rsidRPr="00EE1197" w:rsidRDefault="004F168B" w:rsidP="00EE30BD">
            <w:pPr>
              <w:spacing w:line="276" w:lineRule="auto"/>
              <w:ind w:right="56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EE119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4"/>
                <w:lang w:eastAsia="ru-RU"/>
              </w:rPr>
              <w:drawing>
                <wp:inline distT="0" distB="0" distL="0" distR="0" wp14:anchorId="247A682E" wp14:editId="06FB7CBD">
                  <wp:extent cx="1371600" cy="947651"/>
                  <wp:effectExtent l="0" t="0" r="0" b="5080"/>
                  <wp:docPr id="16" name="Рисунок 16" descr="C:\Users\пк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к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4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4F168B" w:rsidRPr="00EE1197" w:rsidRDefault="004F168B" w:rsidP="00EE30BD">
            <w:pPr>
              <w:spacing w:line="276" w:lineRule="auto"/>
              <w:ind w:right="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Минимальное снижение характеризуется визуализацией общей почечной артерии, сегментарных, </w:t>
            </w:r>
            <w:proofErr w:type="spellStart"/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междолевых</w:t>
            </w:r>
            <w:proofErr w:type="spellEnd"/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, и частично дуговых (до 50% от всех дуговых сосудов, </w:t>
            </w:r>
            <w:proofErr w:type="spellStart"/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междольковые</w:t>
            </w:r>
            <w:proofErr w:type="spellEnd"/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не определяются)</w:t>
            </w:r>
          </w:p>
        </w:tc>
      </w:tr>
      <w:tr w:rsidR="004F168B" w:rsidRPr="00EE1197" w:rsidTr="00BF7CF2">
        <w:tc>
          <w:tcPr>
            <w:tcW w:w="1384" w:type="dxa"/>
          </w:tcPr>
          <w:p w:rsidR="004F168B" w:rsidRPr="00EE1197" w:rsidRDefault="004F168B" w:rsidP="00EE30BD">
            <w:pPr>
              <w:spacing w:line="276" w:lineRule="auto"/>
              <w:ind w:right="56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Тип 3</w:t>
            </w:r>
          </w:p>
        </w:tc>
        <w:tc>
          <w:tcPr>
            <w:tcW w:w="3190" w:type="dxa"/>
          </w:tcPr>
          <w:p w:rsidR="004F168B" w:rsidRPr="00EE1197" w:rsidRDefault="004F168B" w:rsidP="00EE30BD">
            <w:pPr>
              <w:spacing w:line="276" w:lineRule="auto"/>
              <w:ind w:right="56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EE119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4"/>
                <w:lang w:eastAsia="ru-RU"/>
              </w:rPr>
              <w:drawing>
                <wp:inline distT="0" distB="0" distL="0" distR="0" wp14:anchorId="78ED11D5" wp14:editId="39D21AE8">
                  <wp:extent cx="1314450" cy="971550"/>
                  <wp:effectExtent l="0" t="0" r="0" b="0"/>
                  <wp:docPr id="18" name="Рисунок 18" descr="C:\Users\пк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к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4F168B" w:rsidRPr="00EE1197" w:rsidRDefault="004F168B" w:rsidP="00EE30BD">
            <w:pPr>
              <w:spacing w:line="276" w:lineRule="auto"/>
              <w:ind w:right="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 умеренном снижении прослеживается общая почечная артерия, сегментарные, частично </w:t>
            </w:r>
            <w:proofErr w:type="spellStart"/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междолевые</w:t>
            </w:r>
            <w:proofErr w:type="spellEnd"/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(до 50% долевые), дуговые, </w:t>
            </w:r>
            <w:proofErr w:type="spellStart"/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междольковые</w:t>
            </w:r>
            <w:proofErr w:type="spellEnd"/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не определяются</w:t>
            </w:r>
          </w:p>
        </w:tc>
      </w:tr>
      <w:tr w:rsidR="004F168B" w:rsidRPr="00EE1197" w:rsidTr="00BF7CF2">
        <w:tc>
          <w:tcPr>
            <w:tcW w:w="1384" w:type="dxa"/>
          </w:tcPr>
          <w:p w:rsidR="004F168B" w:rsidRPr="00EE1197" w:rsidRDefault="004F168B" w:rsidP="00EE30BD">
            <w:pPr>
              <w:spacing w:line="276" w:lineRule="auto"/>
              <w:ind w:right="56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Тип 4</w:t>
            </w:r>
          </w:p>
        </w:tc>
        <w:tc>
          <w:tcPr>
            <w:tcW w:w="3190" w:type="dxa"/>
          </w:tcPr>
          <w:p w:rsidR="004F168B" w:rsidRPr="00EE1197" w:rsidRDefault="004F168B" w:rsidP="00EE30BD">
            <w:pPr>
              <w:spacing w:line="276" w:lineRule="auto"/>
              <w:ind w:right="56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EE119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4"/>
                <w:lang w:eastAsia="ru-RU"/>
              </w:rPr>
              <w:drawing>
                <wp:inline distT="0" distB="0" distL="0" distR="0" wp14:anchorId="4C5EF9F1" wp14:editId="72A76D36">
                  <wp:extent cx="1238250" cy="724259"/>
                  <wp:effectExtent l="0" t="0" r="0" b="0"/>
                  <wp:docPr id="19" name="Рисунок 19" descr="C:\Users\пк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к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24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4F168B" w:rsidRPr="00EE1197" w:rsidRDefault="004F168B" w:rsidP="00EE30BD">
            <w:pPr>
              <w:spacing w:line="276" w:lineRule="auto"/>
              <w:ind w:right="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 максимальном снижении определяется общая почечная артерия, частично сегментарные. </w:t>
            </w:r>
            <w:proofErr w:type="spellStart"/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Междолевые</w:t>
            </w:r>
            <w:proofErr w:type="spellEnd"/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, дуговые, </w:t>
            </w:r>
            <w:proofErr w:type="spellStart"/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междольковые</w:t>
            </w:r>
            <w:proofErr w:type="spellEnd"/>
            <w:r w:rsidRPr="00EE119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не определяются</w:t>
            </w:r>
          </w:p>
        </w:tc>
      </w:tr>
    </w:tbl>
    <w:p w:rsidR="004F168B" w:rsidRPr="00EE1197" w:rsidRDefault="004F168B" w:rsidP="00EE30BD">
      <w:pPr>
        <w:spacing w:after="0"/>
        <w:ind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168B" w:rsidRPr="00EE1197" w:rsidRDefault="000B4104" w:rsidP="00EE30BD">
      <w:pPr>
        <w:spacing w:after="0"/>
        <w:ind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Рис. 2</w:t>
      </w:r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F168B" w:rsidRPr="00EE11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Полуколичественная оценка визуализации мелких сосудов почек (классификация по пятибалльной шкале </w:t>
      </w:r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Bertolotto</w:t>
      </w:r>
      <w:proofErr w:type="spellEnd"/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усовершенствованная А.В. </w:t>
      </w:r>
      <w:proofErr w:type="spellStart"/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Борсуковым</w:t>
      </w:r>
      <w:proofErr w:type="spellEnd"/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Е.Ю. Козловой) </w:t>
      </w:r>
      <w:r w:rsidR="00293770" w:rsidRPr="00EE1197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[10</w:t>
      </w:r>
      <w:proofErr w:type="gramStart"/>
      <w:r w:rsidR="00293770" w:rsidRPr="00EE1197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,11</w:t>
      </w:r>
      <w:proofErr w:type="gramEnd"/>
      <w:r w:rsidR="004F168B" w:rsidRPr="00EE1197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]</w:t>
      </w:r>
    </w:p>
    <w:p w:rsidR="004F168B" w:rsidRPr="00EE1197" w:rsidRDefault="004F168B" w:rsidP="00EE30BD">
      <w:pPr>
        <w:pStyle w:val="a4"/>
        <w:shd w:val="clear" w:color="auto" w:fill="FCFDFD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</w:p>
    <w:p w:rsidR="004F168B" w:rsidRPr="00EE1197" w:rsidRDefault="004F168B" w:rsidP="00EE30BD">
      <w:pPr>
        <w:pStyle w:val="a4"/>
        <w:shd w:val="clear" w:color="auto" w:fill="FCFDFD"/>
        <w:spacing w:before="0" w:beforeAutospacing="0" w:after="0" w:afterAutospacing="0" w:line="276" w:lineRule="auto"/>
        <w:jc w:val="both"/>
        <w:textAlignment w:val="baseline"/>
        <w:rPr>
          <w:rStyle w:val="a7"/>
          <w:b w:val="0"/>
          <w:color w:val="000000" w:themeColor="text1"/>
        </w:rPr>
      </w:pPr>
      <w:r w:rsidRPr="00EE1197">
        <w:rPr>
          <w:bCs/>
          <w:noProof/>
          <w:color w:val="000000" w:themeColor="text1"/>
        </w:rPr>
        <w:drawing>
          <wp:inline distT="0" distB="0" distL="0" distR="0" wp14:anchorId="1C15A894" wp14:editId="05F10844">
            <wp:extent cx="3686175" cy="2533650"/>
            <wp:effectExtent l="0" t="0" r="9525" b="0"/>
            <wp:docPr id="1" name="Рисунок 1" descr="C:\Users\пк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8B" w:rsidRPr="00EE1197" w:rsidRDefault="000B4104" w:rsidP="002D7DF7">
      <w:pPr>
        <w:pStyle w:val="a4"/>
        <w:shd w:val="clear" w:color="auto" w:fill="FCFDFD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EE1197">
        <w:rPr>
          <w:rStyle w:val="a7"/>
          <w:color w:val="000000" w:themeColor="text1"/>
        </w:rPr>
        <w:t>Рис.3</w:t>
      </w:r>
      <w:r w:rsidR="004F168B" w:rsidRPr="00EE1197">
        <w:rPr>
          <w:rStyle w:val="a7"/>
          <w:color w:val="000000" w:themeColor="text1"/>
        </w:rPr>
        <w:t xml:space="preserve">. </w:t>
      </w:r>
      <w:r w:rsidR="004F168B" w:rsidRPr="00EE1197">
        <w:rPr>
          <w:rStyle w:val="a7"/>
          <w:b w:val="0"/>
          <w:color w:val="000000" w:themeColor="text1"/>
        </w:rPr>
        <w:t>КУУЗИ почек:</w:t>
      </w:r>
      <w:r w:rsidR="004F168B" w:rsidRPr="00EE1197">
        <w:rPr>
          <w:rStyle w:val="a7"/>
          <w:color w:val="000000" w:themeColor="text1"/>
        </w:rPr>
        <w:t xml:space="preserve"> </w:t>
      </w:r>
      <w:r w:rsidR="004F168B" w:rsidRPr="00EE1197">
        <w:rPr>
          <w:rStyle w:val="a7"/>
          <w:b w:val="0"/>
          <w:color w:val="000000" w:themeColor="text1"/>
        </w:rPr>
        <w:t>Кривая интенсивность–время. Кривая создается на основе динамических изменений усредненных значений интенсивности в зоне интереса и определяется вручную. Время отображается в секундах по оси абсцисс, а среднее значение эхо-сигнала (относительные единицы) по шкале ординат</w:t>
      </w:r>
      <w:r w:rsidR="004F168B" w:rsidRPr="00EE1197">
        <w:rPr>
          <w:rStyle w:val="a7"/>
          <w:color w:val="000000" w:themeColor="text1"/>
        </w:rPr>
        <w:t xml:space="preserve"> </w:t>
      </w:r>
      <w:r w:rsidR="00293770" w:rsidRPr="00EE1197">
        <w:rPr>
          <w:rFonts w:eastAsia="TimesNewRomanPSMT"/>
          <w:color w:val="000000" w:themeColor="text1"/>
        </w:rPr>
        <w:t>[</w:t>
      </w:r>
      <w:r w:rsidR="004F168B" w:rsidRPr="00EE1197">
        <w:rPr>
          <w:rFonts w:eastAsia="TimesNewRomanPSMT"/>
          <w:color w:val="000000" w:themeColor="text1"/>
        </w:rPr>
        <w:t>4].</w:t>
      </w:r>
    </w:p>
    <w:p w:rsidR="00AC4299" w:rsidRDefault="00AC4299" w:rsidP="00EE30B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168B" w:rsidRPr="00EE1197" w:rsidRDefault="004F168B" w:rsidP="00EE30B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1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Результаты:</w:t>
      </w:r>
    </w:p>
    <w:p w:rsidR="004F168B" w:rsidRPr="00EE1197" w:rsidRDefault="004F168B" w:rsidP="00EE30BD">
      <w:pPr>
        <w:pStyle w:val="a4"/>
        <w:shd w:val="clear" w:color="auto" w:fill="FCFDFD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proofErr w:type="spellStart"/>
      <w:r w:rsidRPr="00EE1197">
        <w:rPr>
          <w:color w:val="000000" w:themeColor="text1"/>
        </w:rPr>
        <w:t>Допплерографическое</w:t>
      </w:r>
      <w:proofErr w:type="spellEnd"/>
      <w:r w:rsidRPr="00EE1197">
        <w:rPr>
          <w:color w:val="000000" w:themeColor="text1"/>
        </w:rPr>
        <w:t xml:space="preserve"> исследование почек у пациентов с СД 2 типа способно оценить как </w:t>
      </w:r>
      <w:proofErr w:type="spellStart"/>
      <w:r w:rsidRPr="00EE1197">
        <w:rPr>
          <w:color w:val="000000" w:themeColor="text1"/>
        </w:rPr>
        <w:t>макрососудистые</w:t>
      </w:r>
      <w:proofErr w:type="spellEnd"/>
      <w:r w:rsidRPr="00EE1197">
        <w:rPr>
          <w:color w:val="000000" w:themeColor="text1"/>
        </w:rPr>
        <w:t xml:space="preserve"> изменения, так и микроциркуляторное русло почек. Определяли базисные типы </w:t>
      </w:r>
      <w:proofErr w:type="spellStart"/>
      <w:r w:rsidRPr="00EE1197">
        <w:rPr>
          <w:color w:val="000000" w:themeColor="text1"/>
        </w:rPr>
        <w:t>интраренального</w:t>
      </w:r>
      <w:proofErr w:type="spellEnd"/>
      <w:r w:rsidRPr="00EE1197">
        <w:rPr>
          <w:color w:val="000000" w:themeColor="text1"/>
        </w:rPr>
        <w:t xml:space="preserve"> кровотока: 0 – нормальный кровоток, 2 – усиление кровотока, 2 – 4 – снижение кровотока в </w:t>
      </w:r>
      <w:r w:rsidR="006D6473" w:rsidRPr="00EE1197">
        <w:rPr>
          <w:color w:val="000000" w:themeColor="text1"/>
        </w:rPr>
        <w:t xml:space="preserve">таблице </w:t>
      </w:r>
      <w:r w:rsidRPr="00EE1197">
        <w:rPr>
          <w:color w:val="000000" w:themeColor="text1"/>
        </w:rPr>
        <w:t>2:</w:t>
      </w:r>
    </w:p>
    <w:p w:rsidR="004F168B" w:rsidRPr="00EE1197" w:rsidRDefault="004F168B" w:rsidP="00EE30BD">
      <w:pPr>
        <w:pStyle w:val="a4"/>
        <w:shd w:val="clear" w:color="auto" w:fill="FCFDFD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</w:p>
    <w:p w:rsidR="004F168B" w:rsidRPr="00EE1197" w:rsidRDefault="004F168B" w:rsidP="00EE30BD">
      <w:pPr>
        <w:pStyle w:val="a4"/>
        <w:shd w:val="clear" w:color="auto" w:fill="FCFDFD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EE1197">
        <w:rPr>
          <w:color w:val="000000" w:themeColor="text1"/>
        </w:rPr>
        <w:lastRenderedPageBreak/>
        <w:t xml:space="preserve">Таблица 2. </w:t>
      </w:r>
      <w:proofErr w:type="gramStart"/>
      <w:r w:rsidRPr="00EE1197">
        <w:rPr>
          <w:color w:val="000000" w:themeColor="text1"/>
        </w:rPr>
        <w:t xml:space="preserve">Результаты частоты встречаемости различных видов  кровотока по данным цветового допплеровского картирования у пациентов с </w:t>
      </w:r>
      <w:r w:rsidR="00AC4299">
        <w:rPr>
          <w:color w:val="000000" w:themeColor="text1"/>
        </w:rPr>
        <w:t xml:space="preserve">диабетической </w:t>
      </w:r>
      <w:proofErr w:type="spellStart"/>
      <w:r w:rsidR="00AC4299">
        <w:rPr>
          <w:color w:val="000000" w:themeColor="text1"/>
        </w:rPr>
        <w:t>нефопатией</w:t>
      </w:r>
      <w:proofErr w:type="spellEnd"/>
      <w:r w:rsidR="00AC4299">
        <w:rPr>
          <w:color w:val="000000" w:themeColor="text1"/>
        </w:rPr>
        <w:t xml:space="preserve"> типа в бал</w:t>
      </w:r>
      <w:r w:rsidRPr="00EE1197">
        <w:rPr>
          <w:color w:val="000000" w:themeColor="text1"/>
        </w:rPr>
        <w:t>лах.</w:t>
      </w:r>
      <w:proofErr w:type="gramEnd"/>
    </w:p>
    <w:p w:rsidR="004F168B" w:rsidRPr="00EE1197" w:rsidRDefault="004F168B" w:rsidP="00EE30BD">
      <w:pPr>
        <w:pStyle w:val="a4"/>
        <w:shd w:val="clear" w:color="auto" w:fill="FCFDFD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F168B" w:rsidRPr="00EE1197" w:rsidTr="00BF7CF2">
        <w:trPr>
          <w:trHeight w:val="795"/>
          <w:jc w:val="center"/>
        </w:trPr>
        <w:tc>
          <w:tcPr>
            <w:tcW w:w="1595" w:type="dxa"/>
            <w:vMerge w:val="restart"/>
          </w:tcPr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EE1197">
              <w:rPr>
                <w:color w:val="000000" w:themeColor="text1"/>
              </w:rPr>
              <w:t>Количество исследуемых пациентов с СД 2 типа и НАЖБП</w:t>
            </w:r>
          </w:p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EE1197">
              <w:rPr>
                <w:color w:val="000000" w:themeColor="text1"/>
              </w:rPr>
              <w:t>(всего)</w:t>
            </w:r>
          </w:p>
        </w:tc>
        <w:tc>
          <w:tcPr>
            <w:tcW w:w="7976" w:type="dxa"/>
            <w:gridSpan w:val="5"/>
          </w:tcPr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EE1197">
              <w:rPr>
                <w:color w:val="000000" w:themeColor="text1"/>
              </w:rPr>
              <w:t xml:space="preserve">Типы кровотока по пятибалльной шкале </w:t>
            </w:r>
            <w:r w:rsidRPr="00EE1197">
              <w:rPr>
                <w:color w:val="000000" w:themeColor="text1"/>
                <w:lang w:val="en-US"/>
              </w:rPr>
              <w:t>M</w:t>
            </w:r>
            <w:r w:rsidRPr="00EE1197">
              <w:rPr>
                <w:color w:val="000000" w:themeColor="text1"/>
              </w:rPr>
              <w:t xml:space="preserve">. </w:t>
            </w:r>
            <w:proofErr w:type="spellStart"/>
            <w:r w:rsidRPr="00EE1197">
              <w:rPr>
                <w:color w:val="000000" w:themeColor="text1"/>
                <w:lang w:val="en-US"/>
              </w:rPr>
              <w:t>Bertolotto</w:t>
            </w:r>
            <w:proofErr w:type="spellEnd"/>
          </w:p>
        </w:tc>
      </w:tr>
      <w:tr w:rsidR="004F168B" w:rsidRPr="00EE1197" w:rsidTr="00BF7CF2">
        <w:trPr>
          <w:trHeight w:val="548"/>
          <w:jc w:val="center"/>
        </w:trPr>
        <w:tc>
          <w:tcPr>
            <w:tcW w:w="1595" w:type="dxa"/>
            <w:vMerge/>
          </w:tcPr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1595" w:type="dxa"/>
          </w:tcPr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EE1197">
              <w:rPr>
                <w:color w:val="000000" w:themeColor="text1"/>
              </w:rPr>
              <w:t>Тип 0</w:t>
            </w:r>
          </w:p>
        </w:tc>
        <w:tc>
          <w:tcPr>
            <w:tcW w:w="1595" w:type="dxa"/>
          </w:tcPr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EE1197">
              <w:rPr>
                <w:color w:val="000000" w:themeColor="text1"/>
              </w:rPr>
              <w:t>Тип 1</w:t>
            </w:r>
          </w:p>
        </w:tc>
        <w:tc>
          <w:tcPr>
            <w:tcW w:w="1595" w:type="dxa"/>
          </w:tcPr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EE1197">
              <w:rPr>
                <w:color w:val="000000" w:themeColor="text1"/>
              </w:rPr>
              <w:t>Тип 2</w:t>
            </w:r>
          </w:p>
        </w:tc>
        <w:tc>
          <w:tcPr>
            <w:tcW w:w="1595" w:type="dxa"/>
          </w:tcPr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EE1197">
              <w:rPr>
                <w:color w:val="000000" w:themeColor="text1"/>
              </w:rPr>
              <w:t>Тип 3</w:t>
            </w:r>
          </w:p>
        </w:tc>
        <w:tc>
          <w:tcPr>
            <w:tcW w:w="1596" w:type="dxa"/>
          </w:tcPr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EE1197">
              <w:rPr>
                <w:color w:val="000000" w:themeColor="text1"/>
              </w:rPr>
              <w:t>Тип 4</w:t>
            </w:r>
          </w:p>
        </w:tc>
      </w:tr>
      <w:tr w:rsidR="004F168B" w:rsidRPr="00EE1197" w:rsidTr="00BF7CF2">
        <w:trPr>
          <w:trHeight w:val="547"/>
          <w:jc w:val="center"/>
        </w:trPr>
        <w:tc>
          <w:tcPr>
            <w:tcW w:w="1595" w:type="dxa"/>
            <w:vMerge/>
          </w:tcPr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1595" w:type="dxa"/>
          </w:tcPr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EE1197">
              <w:rPr>
                <w:color w:val="000000" w:themeColor="text1"/>
              </w:rPr>
              <w:t>%</w:t>
            </w:r>
          </w:p>
        </w:tc>
        <w:tc>
          <w:tcPr>
            <w:tcW w:w="1595" w:type="dxa"/>
          </w:tcPr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EE1197">
              <w:rPr>
                <w:color w:val="000000" w:themeColor="text1"/>
              </w:rPr>
              <w:t>%</w:t>
            </w:r>
          </w:p>
        </w:tc>
        <w:tc>
          <w:tcPr>
            <w:tcW w:w="1595" w:type="dxa"/>
          </w:tcPr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EE1197">
              <w:rPr>
                <w:color w:val="000000" w:themeColor="text1"/>
              </w:rPr>
              <w:t>%</w:t>
            </w:r>
          </w:p>
        </w:tc>
        <w:tc>
          <w:tcPr>
            <w:tcW w:w="1595" w:type="dxa"/>
          </w:tcPr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EE1197">
              <w:rPr>
                <w:color w:val="000000" w:themeColor="text1"/>
              </w:rPr>
              <w:t>%</w:t>
            </w:r>
          </w:p>
        </w:tc>
        <w:tc>
          <w:tcPr>
            <w:tcW w:w="1596" w:type="dxa"/>
          </w:tcPr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EE1197">
              <w:rPr>
                <w:color w:val="000000" w:themeColor="text1"/>
              </w:rPr>
              <w:t>%</w:t>
            </w:r>
          </w:p>
        </w:tc>
      </w:tr>
      <w:tr w:rsidR="004F168B" w:rsidRPr="00EE1197" w:rsidTr="00BF7CF2">
        <w:trPr>
          <w:jc w:val="center"/>
        </w:trPr>
        <w:tc>
          <w:tcPr>
            <w:tcW w:w="1595" w:type="dxa"/>
          </w:tcPr>
          <w:p w:rsidR="004F168B" w:rsidRPr="00EE1197" w:rsidRDefault="002B6AC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EE1197">
              <w:rPr>
                <w:color w:val="000000" w:themeColor="text1"/>
              </w:rPr>
              <w:t>17</w:t>
            </w:r>
          </w:p>
        </w:tc>
        <w:tc>
          <w:tcPr>
            <w:tcW w:w="1595" w:type="dxa"/>
          </w:tcPr>
          <w:p w:rsidR="004F168B" w:rsidRPr="00EE1197" w:rsidRDefault="002B6AC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EE1197">
              <w:rPr>
                <w:color w:val="000000" w:themeColor="text1"/>
              </w:rPr>
              <w:t>41</w:t>
            </w:r>
            <w:r w:rsidR="004F168B" w:rsidRPr="00EE1197">
              <w:rPr>
                <w:color w:val="000000" w:themeColor="text1"/>
              </w:rPr>
              <w:t>,9</w:t>
            </w:r>
          </w:p>
        </w:tc>
        <w:tc>
          <w:tcPr>
            <w:tcW w:w="1595" w:type="dxa"/>
          </w:tcPr>
          <w:p w:rsidR="004F168B" w:rsidRPr="00EE1197" w:rsidRDefault="002B6AC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EE1197">
              <w:rPr>
                <w:color w:val="000000" w:themeColor="text1"/>
              </w:rPr>
              <w:t>26,5</w:t>
            </w:r>
          </w:p>
        </w:tc>
        <w:tc>
          <w:tcPr>
            <w:tcW w:w="1595" w:type="dxa"/>
          </w:tcPr>
          <w:p w:rsidR="004F168B" w:rsidRPr="00EE1197" w:rsidRDefault="002B6AC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EE1197">
              <w:rPr>
                <w:color w:val="000000" w:themeColor="text1"/>
              </w:rPr>
              <w:t>14</w:t>
            </w:r>
            <w:r w:rsidR="004F168B" w:rsidRPr="00EE1197">
              <w:rPr>
                <w:color w:val="000000" w:themeColor="text1"/>
              </w:rPr>
              <w:t>,8</w:t>
            </w:r>
          </w:p>
        </w:tc>
        <w:tc>
          <w:tcPr>
            <w:tcW w:w="1595" w:type="dxa"/>
          </w:tcPr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EE1197">
              <w:rPr>
                <w:color w:val="000000" w:themeColor="text1"/>
              </w:rPr>
              <w:t>8,8</w:t>
            </w:r>
          </w:p>
        </w:tc>
        <w:tc>
          <w:tcPr>
            <w:tcW w:w="1596" w:type="dxa"/>
          </w:tcPr>
          <w:p w:rsidR="004F168B" w:rsidRPr="00EE1197" w:rsidRDefault="002B6AC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EE1197">
              <w:rPr>
                <w:color w:val="000000" w:themeColor="text1"/>
              </w:rPr>
              <w:t>8,0</w:t>
            </w:r>
          </w:p>
        </w:tc>
      </w:tr>
    </w:tbl>
    <w:p w:rsidR="004F168B" w:rsidRPr="00EE1197" w:rsidRDefault="004F168B" w:rsidP="00EE30BD">
      <w:pPr>
        <w:pStyle w:val="a4"/>
        <w:shd w:val="clear" w:color="auto" w:fill="FCFDFD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</w:p>
    <w:p w:rsidR="004F168B" w:rsidRPr="00EE1197" w:rsidRDefault="004F168B" w:rsidP="00EE30BD">
      <w:pPr>
        <w:pStyle w:val="a4"/>
        <w:shd w:val="clear" w:color="auto" w:fill="FCFDFD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EE1197">
        <w:rPr>
          <w:color w:val="000000" w:themeColor="text1"/>
        </w:rPr>
        <w:t xml:space="preserve">Анализ проведенного исследования показал вариации снижения </w:t>
      </w:r>
      <w:proofErr w:type="spellStart"/>
      <w:r w:rsidRPr="00EE1197">
        <w:rPr>
          <w:color w:val="000000" w:themeColor="text1"/>
        </w:rPr>
        <w:t>внутрипочечного</w:t>
      </w:r>
      <w:proofErr w:type="spellEnd"/>
      <w:r w:rsidRPr="00EE1197">
        <w:rPr>
          <w:color w:val="000000" w:themeColor="text1"/>
        </w:rPr>
        <w:t xml:space="preserve"> кровотока</w:t>
      </w:r>
      <w:r w:rsidR="000B4104" w:rsidRPr="00EE1197">
        <w:rPr>
          <w:color w:val="000000" w:themeColor="text1"/>
        </w:rPr>
        <w:t xml:space="preserve"> у пациентов с СД 2 типа</w:t>
      </w:r>
      <w:r w:rsidR="002D7DF7">
        <w:rPr>
          <w:color w:val="000000" w:themeColor="text1"/>
        </w:rPr>
        <w:t>. У основной массы пациентов с</w:t>
      </w:r>
      <w:r w:rsidRPr="00EE1197">
        <w:rPr>
          <w:color w:val="000000" w:themeColor="text1"/>
        </w:rPr>
        <w:t xml:space="preserve"> неизмененными показателями кровотока по ЦДК (</w:t>
      </w:r>
      <w:r w:rsidR="002B6ACB" w:rsidRPr="00EE1197">
        <w:rPr>
          <w:color w:val="000000" w:themeColor="text1"/>
        </w:rPr>
        <w:t>тип 0 – 41</w:t>
      </w:r>
      <w:r w:rsidRPr="00EE1197">
        <w:rPr>
          <w:color w:val="000000" w:themeColor="text1"/>
        </w:rPr>
        <w:t xml:space="preserve">,9%; </w:t>
      </w:r>
      <w:r w:rsidR="002B6ACB" w:rsidRPr="00EE1197">
        <w:rPr>
          <w:color w:val="000000" w:themeColor="text1"/>
        </w:rPr>
        <w:t>тип 1 – 26,5</w:t>
      </w:r>
      <w:r w:rsidRPr="00EE1197">
        <w:rPr>
          <w:color w:val="000000" w:themeColor="text1"/>
        </w:rPr>
        <w:t xml:space="preserve">%) на момент исследования не было клинических жалоб. Отсутствуют достоверные различия </w:t>
      </w:r>
      <w:proofErr w:type="spellStart"/>
      <w:r w:rsidRPr="00EE1197">
        <w:rPr>
          <w:color w:val="000000" w:themeColor="text1"/>
        </w:rPr>
        <w:t>интрарена</w:t>
      </w:r>
      <w:r w:rsidR="002D7DF7">
        <w:rPr>
          <w:color w:val="000000" w:themeColor="text1"/>
        </w:rPr>
        <w:t>льного</w:t>
      </w:r>
      <w:proofErr w:type="spellEnd"/>
      <w:r w:rsidR="002D7DF7">
        <w:rPr>
          <w:color w:val="000000" w:themeColor="text1"/>
        </w:rPr>
        <w:t xml:space="preserve"> кровотока, относящиеся к</w:t>
      </w:r>
      <w:r w:rsidRPr="00EE1197">
        <w:rPr>
          <w:color w:val="000000" w:themeColor="text1"/>
        </w:rPr>
        <w:t xml:space="preserve"> типу 0 и типу 1. У пациентов с начальными изменениями </w:t>
      </w:r>
      <w:proofErr w:type="spellStart"/>
      <w:r w:rsidRPr="00EE1197">
        <w:rPr>
          <w:color w:val="000000" w:themeColor="text1"/>
        </w:rPr>
        <w:t>внутрипочечного</w:t>
      </w:r>
      <w:proofErr w:type="spellEnd"/>
      <w:r w:rsidRPr="00EE1197">
        <w:rPr>
          <w:color w:val="000000" w:themeColor="text1"/>
        </w:rPr>
        <w:t xml:space="preserve"> кровотока, характеризующиеся снижением визуализации общей почечной артерии, сегментарных и частично долевых по данным ЦДК, также отсутствовали клинические жалобы и были отнесены к типу 2 (</w:t>
      </w:r>
      <w:r w:rsidR="002B6ACB" w:rsidRPr="00EE1197">
        <w:rPr>
          <w:color w:val="000000" w:themeColor="text1"/>
        </w:rPr>
        <w:t>14,8</w:t>
      </w:r>
      <w:r w:rsidRPr="00EE1197">
        <w:rPr>
          <w:color w:val="000000" w:themeColor="text1"/>
        </w:rPr>
        <w:t xml:space="preserve">%). Пациенты, у которых при ЦДК не были визуализированы дуговые и </w:t>
      </w:r>
      <w:proofErr w:type="spellStart"/>
      <w:r w:rsidRPr="00EE1197">
        <w:rPr>
          <w:color w:val="000000" w:themeColor="text1"/>
        </w:rPr>
        <w:t>междольковые</w:t>
      </w:r>
      <w:proofErr w:type="spellEnd"/>
      <w:r w:rsidRPr="00EE1197">
        <w:rPr>
          <w:color w:val="000000" w:themeColor="text1"/>
        </w:rPr>
        <w:t xml:space="preserve"> артерии находились в стадии </w:t>
      </w:r>
      <w:proofErr w:type="spellStart"/>
      <w:r w:rsidRPr="00EE1197">
        <w:rPr>
          <w:color w:val="000000" w:themeColor="text1"/>
        </w:rPr>
        <w:t>субкомпенсации</w:t>
      </w:r>
      <w:proofErr w:type="spellEnd"/>
      <w:r w:rsidRPr="00EE1197">
        <w:rPr>
          <w:color w:val="000000" w:themeColor="text1"/>
        </w:rPr>
        <w:t xml:space="preserve"> по СД 2 типа и состояли на учете в эндокринологическом отделении, определены к типу 3 (8,8%). </w:t>
      </w:r>
      <w:proofErr w:type="gramStart"/>
      <w:r w:rsidRPr="00EE1197">
        <w:rPr>
          <w:color w:val="000000" w:themeColor="text1"/>
        </w:rPr>
        <w:t>Максимальное снижение почечного кровотока было выявлено у пациентов в терминальной стадии с почечной недостаточностью, проходящие лечение в гемодиализе (</w:t>
      </w:r>
      <w:r w:rsidR="002B6ACB" w:rsidRPr="00EE1197">
        <w:rPr>
          <w:color w:val="000000" w:themeColor="text1"/>
        </w:rPr>
        <w:t>тип 4 – 8,0</w:t>
      </w:r>
      <w:r w:rsidRPr="00EE1197">
        <w:rPr>
          <w:color w:val="000000" w:themeColor="text1"/>
        </w:rPr>
        <w:t>%).</w:t>
      </w:r>
      <w:proofErr w:type="gramEnd"/>
    </w:p>
    <w:p w:rsidR="004F168B" w:rsidRPr="00EE1197" w:rsidRDefault="004F168B" w:rsidP="00EE30BD">
      <w:pPr>
        <w:pStyle w:val="a4"/>
        <w:shd w:val="clear" w:color="auto" w:fill="FCFDFD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</w:p>
    <w:p w:rsidR="004F168B" w:rsidRPr="00EE1197" w:rsidRDefault="004F168B" w:rsidP="00EE30BD">
      <w:pPr>
        <w:pStyle w:val="a4"/>
        <w:shd w:val="clear" w:color="auto" w:fill="FCFDFD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EE1197">
        <w:rPr>
          <w:color w:val="000000" w:themeColor="text1"/>
        </w:rPr>
        <w:t>Количественные показатели, полученные по результатам КУУЗИ почек у пациентов  исследуемых групп  при введении 2,5 мл эхоконтрастного препарата «</w:t>
      </w:r>
      <w:proofErr w:type="spellStart"/>
      <w:r w:rsidR="002D7DF7" w:rsidRPr="00EE1197">
        <w:rPr>
          <w:color w:val="000000" w:themeColor="text1"/>
          <w:lang w:val="en-US"/>
        </w:rPr>
        <w:t>SonoVue</w:t>
      </w:r>
      <w:proofErr w:type="spellEnd"/>
      <w:r w:rsidRPr="00EE1197">
        <w:rPr>
          <w:color w:val="000000" w:themeColor="text1"/>
        </w:rPr>
        <w:t>» (</w:t>
      </w:r>
      <w:proofErr w:type="spellStart"/>
      <w:r w:rsidRPr="00EE1197">
        <w:t>Bracco</w:t>
      </w:r>
      <w:proofErr w:type="spellEnd"/>
      <w:r w:rsidRPr="00EE1197">
        <w:t xml:space="preserve"> </w:t>
      </w:r>
      <w:proofErr w:type="spellStart"/>
      <w:r w:rsidRPr="00EE1197">
        <w:t>Swiss</w:t>
      </w:r>
      <w:proofErr w:type="spellEnd"/>
      <w:r w:rsidRPr="00EE1197">
        <w:t xml:space="preserve"> S.A., Швейцария</w:t>
      </w:r>
      <w:r w:rsidRPr="00EE1197">
        <w:rPr>
          <w:color w:val="000000" w:themeColor="text1"/>
        </w:rPr>
        <w:t xml:space="preserve">) представлены </w:t>
      </w:r>
      <w:r w:rsidR="006D6473" w:rsidRPr="00EE1197">
        <w:rPr>
          <w:color w:val="000000" w:themeColor="text1"/>
        </w:rPr>
        <w:t>в таблице</w:t>
      </w:r>
      <w:r w:rsidRPr="00EE1197">
        <w:rPr>
          <w:color w:val="000000" w:themeColor="text1"/>
        </w:rPr>
        <w:t xml:space="preserve"> 3: </w:t>
      </w:r>
    </w:p>
    <w:p w:rsidR="00293770" w:rsidRPr="00EE1197" w:rsidRDefault="00293770" w:rsidP="00EE30BD">
      <w:pPr>
        <w:pStyle w:val="a4"/>
        <w:shd w:val="clear" w:color="auto" w:fill="FCFDFD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</w:p>
    <w:p w:rsidR="004F168B" w:rsidRPr="00EE1197" w:rsidRDefault="004F168B" w:rsidP="00EE30BD">
      <w:pPr>
        <w:pStyle w:val="a4"/>
        <w:shd w:val="clear" w:color="auto" w:fill="FCFDFD"/>
        <w:spacing w:before="0" w:beforeAutospacing="0" w:after="0" w:afterAutospacing="0" w:line="276" w:lineRule="auto"/>
        <w:jc w:val="both"/>
        <w:textAlignment w:val="baseline"/>
        <w:rPr>
          <w:rStyle w:val="a7"/>
          <w:b w:val="0"/>
          <w:color w:val="000000" w:themeColor="text1"/>
        </w:rPr>
      </w:pPr>
      <w:r w:rsidRPr="00EE1197">
        <w:rPr>
          <w:color w:val="000000" w:themeColor="text1"/>
        </w:rPr>
        <w:t>Таблица 3</w:t>
      </w:r>
      <w:r w:rsidR="00293770" w:rsidRPr="00EE1197">
        <w:rPr>
          <w:color w:val="000000" w:themeColor="text1"/>
        </w:rPr>
        <w:t xml:space="preserve">. </w:t>
      </w:r>
      <w:r w:rsidRPr="00EE1197">
        <w:rPr>
          <w:rStyle w:val="a7"/>
          <w:b w:val="0"/>
          <w:color w:val="000000" w:themeColor="text1"/>
        </w:rPr>
        <w:t xml:space="preserve">Количественные усредненные показатели контрастно-усиленного ультразвукового исследования </w:t>
      </w:r>
      <w:r w:rsidR="000B4104" w:rsidRPr="00EE1197">
        <w:rPr>
          <w:rStyle w:val="a7"/>
          <w:b w:val="0"/>
          <w:color w:val="000000" w:themeColor="text1"/>
        </w:rPr>
        <w:t>почек у пациентов с СД 2 типа.</w:t>
      </w:r>
    </w:p>
    <w:p w:rsidR="004F168B" w:rsidRPr="00EE1197" w:rsidRDefault="004F168B" w:rsidP="00EE30BD">
      <w:pPr>
        <w:pStyle w:val="a4"/>
        <w:shd w:val="clear" w:color="auto" w:fill="FCFDFD"/>
        <w:spacing w:before="0" w:beforeAutospacing="0" w:after="0" w:afterAutospacing="0" w:line="276" w:lineRule="auto"/>
        <w:jc w:val="both"/>
        <w:textAlignment w:val="baseline"/>
        <w:rPr>
          <w:rStyle w:val="a7"/>
          <w:color w:val="000000" w:themeColor="text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1595"/>
        <w:gridCol w:w="1172"/>
      </w:tblGrid>
      <w:tr w:rsidR="004F168B" w:rsidRPr="00EE1197" w:rsidTr="00BF7CF2">
        <w:tc>
          <w:tcPr>
            <w:tcW w:w="4785" w:type="dxa"/>
            <w:vMerge w:val="restart"/>
          </w:tcPr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rStyle w:val="a7"/>
                <w:color w:val="000000" w:themeColor="text1"/>
                <w:sz w:val="21"/>
                <w:szCs w:val="21"/>
              </w:rPr>
            </w:pPr>
            <w:r w:rsidRPr="00EE1197">
              <w:rPr>
                <w:rStyle w:val="a7"/>
                <w:color w:val="000000" w:themeColor="text1"/>
                <w:sz w:val="21"/>
                <w:szCs w:val="21"/>
              </w:rPr>
              <w:t>Показатель</w:t>
            </w:r>
          </w:p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rStyle w:val="a7"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gridSpan w:val="2"/>
          </w:tcPr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rStyle w:val="a7"/>
                <w:color w:val="000000" w:themeColor="text1"/>
                <w:sz w:val="21"/>
                <w:szCs w:val="21"/>
              </w:rPr>
            </w:pPr>
            <w:r w:rsidRPr="00EE1197">
              <w:rPr>
                <w:rStyle w:val="a7"/>
                <w:color w:val="000000" w:themeColor="text1"/>
                <w:sz w:val="21"/>
                <w:szCs w:val="21"/>
              </w:rPr>
              <w:t>Группы</w:t>
            </w:r>
          </w:p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rStyle w:val="a7"/>
                <w:color w:val="000000" w:themeColor="text1"/>
                <w:sz w:val="21"/>
                <w:szCs w:val="21"/>
              </w:rPr>
            </w:pPr>
          </w:p>
        </w:tc>
      </w:tr>
      <w:tr w:rsidR="004F168B" w:rsidRPr="00EE1197" w:rsidTr="00BF7CF2">
        <w:tc>
          <w:tcPr>
            <w:tcW w:w="4785" w:type="dxa"/>
            <w:vMerge/>
          </w:tcPr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rStyle w:val="a7"/>
                <w:color w:val="000000" w:themeColor="text1"/>
                <w:sz w:val="21"/>
                <w:szCs w:val="21"/>
              </w:rPr>
            </w:pPr>
          </w:p>
        </w:tc>
        <w:tc>
          <w:tcPr>
            <w:tcW w:w="1595" w:type="dxa"/>
          </w:tcPr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rStyle w:val="a7"/>
                <w:color w:val="000000" w:themeColor="text1"/>
                <w:sz w:val="21"/>
                <w:szCs w:val="21"/>
              </w:rPr>
            </w:pPr>
            <w:r w:rsidRPr="00EE1197">
              <w:rPr>
                <w:rStyle w:val="a7"/>
                <w:color w:val="000000" w:themeColor="text1"/>
                <w:sz w:val="21"/>
                <w:szCs w:val="21"/>
              </w:rPr>
              <w:t>1-ая</w:t>
            </w:r>
          </w:p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rStyle w:val="a7"/>
                <w:color w:val="000000" w:themeColor="text1"/>
                <w:sz w:val="21"/>
                <w:szCs w:val="21"/>
              </w:rPr>
            </w:pPr>
            <w:r w:rsidRPr="00EE1197">
              <w:rPr>
                <w:rStyle w:val="a7"/>
                <w:color w:val="000000" w:themeColor="text1"/>
                <w:sz w:val="21"/>
                <w:szCs w:val="21"/>
              </w:rPr>
              <w:t>(</w:t>
            </w:r>
            <w:r w:rsidRPr="00EE1197">
              <w:rPr>
                <w:rStyle w:val="a7"/>
                <w:color w:val="000000" w:themeColor="text1"/>
                <w:sz w:val="21"/>
                <w:szCs w:val="21"/>
                <w:lang w:val="en-US"/>
              </w:rPr>
              <w:t>n=</w:t>
            </w:r>
            <w:r w:rsidRPr="00EE1197">
              <w:rPr>
                <w:rStyle w:val="a7"/>
                <w:color w:val="000000" w:themeColor="text1"/>
                <w:sz w:val="21"/>
                <w:szCs w:val="21"/>
              </w:rPr>
              <w:t>7</w:t>
            </w:r>
            <w:r w:rsidRPr="00EE1197">
              <w:rPr>
                <w:rStyle w:val="a7"/>
                <w:color w:val="000000" w:themeColor="text1"/>
                <w:sz w:val="21"/>
                <w:szCs w:val="21"/>
                <w:lang w:val="en-US"/>
              </w:rPr>
              <w:t>)</w:t>
            </w:r>
          </w:p>
        </w:tc>
        <w:tc>
          <w:tcPr>
            <w:tcW w:w="1099" w:type="dxa"/>
          </w:tcPr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rStyle w:val="a7"/>
                <w:color w:val="000000" w:themeColor="text1"/>
                <w:sz w:val="21"/>
                <w:szCs w:val="21"/>
              </w:rPr>
            </w:pPr>
            <w:r w:rsidRPr="00EE1197">
              <w:rPr>
                <w:rStyle w:val="a7"/>
                <w:color w:val="000000" w:themeColor="text1"/>
                <w:sz w:val="21"/>
                <w:szCs w:val="21"/>
              </w:rPr>
              <w:t>2-ая</w:t>
            </w:r>
            <w:r w:rsidRPr="00EE1197">
              <w:rPr>
                <w:rStyle w:val="a7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EE1197">
              <w:rPr>
                <w:rStyle w:val="a7"/>
                <w:color w:val="000000" w:themeColor="text1"/>
                <w:sz w:val="21"/>
                <w:szCs w:val="21"/>
              </w:rPr>
              <w:t>(</w:t>
            </w:r>
            <w:r w:rsidRPr="00EE1197">
              <w:rPr>
                <w:rStyle w:val="a7"/>
                <w:color w:val="000000" w:themeColor="text1"/>
                <w:sz w:val="21"/>
                <w:szCs w:val="21"/>
                <w:lang w:val="en-US"/>
              </w:rPr>
              <w:t>n=</w:t>
            </w:r>
            <w:r w:rsidR="00105125">
              <w:rPr>
                <w:rStyle w:val="a7"/>
                <w:color w:val="000000" w:themeColor="text1"/>
                <w:sz w:val="21"/>
                <w:szCs w:val="21"/>
              </w:rPr>
              <w:t>12</w:t>
            </w:r>
            <w:r w:rsidRPr="00EE1197">
              <w:rPr>
                <w:rStyle w:val="a7"/>
                <w:color w:val="000000" w:themeColor="text1"/>
                <w:sz w:val="21"/>
                <w:szCs w:val="21"/>
                <w:lang w:val="en-US"/>
              </w:rPr>
              <w:t>)</w:t>
            </w:r>
          </w:p>
        </w:tc>
      </w:tr>
      <w:tr w:rsidR="004F168B" w:rsidRPr="00EE1197" w:rsidTr="00BF7CF2">
        <w:tc>
          <w:tcPr>
            <w:tcW w:w="4785" w:type="dxa"/>
          </w:tcPr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 w:themeColor="text1"/>
              </w:rPr>
            </w:pPr>
            <w:r w:rsidRPr="00EE1197">
              <w:rPr>
                <w:bCs/>
                <w:iCs/>
                <w:color w:val="000000" w:themeColor="text1"/>
              </w:rPr>
              <w:t>Начало артериальной фазы</w:t>
            </w:r>
            <w:r w:rsidRPr="00EE1197">
              <w:rPr>
                <w:bCs/>
                <w:color w:val="000000" w:themeColor="text1"/>
              </w:rPr>
              <w:t xml:space="preserve">, </w:t>
            </w:r>
          </w:p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iCs/>
                <w:color w:val="000000" w:themeColor="text1"/>
              </w:rPr>
            </w:pPr>
            <w:r w:rsidRPr="00EE1197">
              <w:rPr>
                <w:bCs/>
                <w:iCs/>
                <w:color w:val="000000" w:themeColor="text1"/>
              </w:rPr>
              <w:t>(ТОА) (сек.)</w:t>
            </w:r>
          </w:p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rStyle w:val="a7"/>
                <w:color w:val="000000" w:themeColor="text1"/>
              </w:rPr>
            </w:pPr>
          </w:p>
        </w:tc>
        <w:tc>
          <w:tcPr>
            <w:tcW w:w="1595" w:type="dxa"/>
          </w:tcPr>
          <w:p w:rsidR="004F168B" w:rsidRPr="00EE1197" w:rsidRDefault="00104E69" w:rsidP="00EE30BD">
            <w:pPr>
              <w:pStyle w:val="a4"/>
              <w:spacing w:line="276" w:lineRule="auto"/>
              <w:jc w:val="both"/>
              <w:textAlignment w:val="baseline"/>
              <w:rPr>
                <w:bCs/>
                <w:color w:val="000000" w:themeColor="text1"/>
                <w:sz w:val="21"/>
                <w:szCs w:val="21"/>
              </w:rPr>
            </w:pPr>
            <w:r w:rsidRPr="00EE1197">
              <w:rPr>
                <w:bCs/>
                <w:color w:val="000000" w:themeColor="text1"/>
                <w:sz w:val="21"/>
                <w:szCs w:val="21"/>
              </w:rPr>
              <w:t>26</w:t>
            </w:r>
            <w:r w:rsidR="00AC4299">
              <w:rPr>
                <w:bCs/>
                <w:color w:val="000000" w:themeColor="text1"/>
                <w:sz w:val="21"/>
                <w:szCs w:val="21"/>
              </w:rPr>
              <w:t>,5</w:t>
            </w:r>
            <w:r w:rsidR="004F168B" w:rsidRPr="00EE1197">
              <w:rPr>
                <w:bCs/>
                <w:color w:val="000000" w:themeColor="text1"/>
                <w:sz w:val="21"/>
                <w:szCs w:val="21"/>
              </w:rPr>
              <w:t>6±1,3</w:t>
            </w:r>
          </w:p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rStyle w:val="a7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099" w:type="dxa"/>
          </w:tcPr>
          <w:p w:rsidR="004F168B" w:rsidRPr="00EE1197" w:rsidRDefault="00104E69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rStyle w:val="a7"/>
                <w:b w:val="0"/>
                <w:color w:val="000000" w:themeColor="text1"/>
                <w:sz w:val="21"/>
                <w:szCs w:val="21"/>
              </w:rPr>
            </w:pPr>
            <w:r w:rsidRPr="00EE1197">
              <w:rPr>
                <w:bCs/>
                <w:color w:val="000000" w:themeColor="text1"/>
                <w:sz w:val="21"/>
                <w:szCs w:val="21"/>
              </w:rPr>
              <w:t>11</w:t>
            </w:r>
            <w:r w:rsidR="00AC4299">
              <w:rPr>
                <w:bCs/>
                <w:color w:val="000000" w:themeColor="text1"/>
                <w:sz w:val="21"/>
                <w:szCs w:val="21"/>
              </w:rPr>
              <w:t>,6</w:t>
            </w:r>
            <w:r w:rsidR="004F168B" w:rsidRPr="00EE1197">
              <w:rPr>
                <w:bCs/>
                <w:color w:val="000000" w:themeColor="text1"/>
                <w:sz w:val="21"/>
                <w:szCs w:val="21"/>
              </w:rPr>
              <w:t>1±1,1</w:t>
            </w:r>
          </w:p>
        </w:tc>
      </w:tr>
      <w:tr w:rsidR="004F168B" w:rsidRPr="00EE1197" w:rsidTr="00BF7CF2">
        <w:tc>
          <w:tcPr>
            <w:tcW w:w="4785" w:type="dxa"/>
          </w:tcPr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 w:themeColor="text1"/>
              </w:rPr>
            </w:pPr>
            <w:r w:rsidRPr="00EE1197">
              <w:rPr>
                <w:bCs/>
                <w:iCs/>
                <w:color w:val="000000" w:themeColor="text1"/>
              </w:rPr>
              <w:t>Время достижения максимальной интенсивности накопления контрастного препарата</w:t>
            </w:r>
            <w:r w:rsidRPr="00EE1197">
              <w:rPr>
                <w:bCs/>
                <w:color w:val="000000" w:themeColor="text1"/>
              </w:rPr>
              <w:t>,</w:t>
            </w:r>
          </w:p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iCs/>
                <w:color w:val="000000" w:themeColor="text1"/>
              </w:rPr>
            </w:pPr>
            <w:r w:rsidRPr="00EE1197">
              <w:rPr>
                <w:bCs/>
                <w:iCs/>
                <w:color w:val="000000" w:themeColor="text1"/>
              </w:rPr>
              <w:t>ТТР (сек)</w:t>
            </w:r>
          </w:p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rStyle w:val="a7"/>
                <w:color w:val="000000" w:themeColor="text1"/>
              </w:rPr>
            </w:pPr>
          </w:p>
        </w:tc>
        <w:tc>
          <w:tcPr>
            <w:tcW w:w="1595" w:type="dxa"/>
          </w:tcPr>
          <w:p w:rsidR="004F168B" w:rsidRPr="00EE1197" w:rsidRDefault="00104E69" w:rsidP="00EE30BD">
            <w:pPr>
              <w:pStyle w:val="a4"/>
              <w:spacing w:line="276" w:lineRule="auto"/>
              <w:jc w:val="both"/>
              <w:textAlignment w:val="baseline"/>
              <w:rPr>
                <w:bCs/>
                <w:color w:val="000000" w:themeColor="text1"/>
                <w:sz w:val="21"/>
                <w:szCs w:val="21"/>
              </w:rPr>
            </w:pPr>
            <w:r w:rsidRPr="00EE1197">
              <w:rPr>
                <w:bCs/>
                <w:color w:val="000000" w:themeColor="text1"/>
                <w:sz w:val="21"/>
                <w:szCs w:val="21"/>
              </w:rPr>
              <w:t>38</w:t>
            </w:r>
            <w:r w:rsidR="00AC4299">
              <w:rPr>
                <w:bCs/>
                <w:color w:val="000000" w:themeColor="text1"/>
                <w:sz w:val="21"/>
                <w:szCs w:val="21"/>
              </w:rPr>
              <w:t>,3</w:t>
            </w:r>
            <w:r w:rsidR="004F168B" w:rsidRPr="00EE1197">
              <w:rPr>
                <w:bCs/>
                <w:color w:val="000000" w:themeColor="text1"/>
                <w:sz w:val="21"/>
                <w:szCs w:val="21"/>
              </w:rPr>
              <w:t>0±1,1</w:t>
            </w:r>
          </w:p>
          <w:p w:rsidR="004F168B" w:rsidRPr="00EE1197" w:rsidRDefault="004F168B" w:rsidP="00EE30BD">
            <w:pPr>
              <w:pStyle w:val="a4"/>
              <w:spacing w:line="276" w:lineRule="auto"/>
              <w:jc w:val="both"/>
              <w:textAlignment w:val="baseline"/>
              <w:rPr>
                <w:rStyle w:val="a7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099" w:type="dxa"/>
          </w:tcPr>
          <w:p w:rsidR="004F168B" w:rsidRPr="00EE1197" w:rsidRDefault="00104E69" w:rsidP="00EE30BD">
            <w:pPr>
              <w:pStyle w:val="a4"/>
              <w:spacing w:line="276" w:lineRule="auto"/>
              <w:jc w:val="both"/>
              <w:textAlignment w:val="baseline"/>
              <w:rPr>
                <w:bCs/>
                <w:color w:val="000000" w:themeColor="text1"/>
                <w:sz w:val="21"/>
                <w:szCs w:val="21"/>
              </w:rPr>
            </w:pPr>
            <w:r w:rsidRPr="00EE1197">
              <w:rPr>
                <w:bCs/>
                <w:color w:val="000000" w:themeColor="text1"/>
                <w:sz w:val="21"/>
                <w:szCs w:val="21"/>
              </w:rPr>
              <w:t>15</w:t>
            </w:r>
            <w:r w:rsidR="00AC4299">
              <w:rPr>
                <w:bCs/>
                <w:color w:val="000000" w:themeColor="text1"/>
                <w:sz w:val="21"/>
                <w:szCs w:val="21"/>
              </w:rPr>
              <w:t>,6</w:t>
            </w:r>
            <w:r w:rsidR="004F168B" w:rsidRPr="00EE1197">
              <w:rPr>
                <w:bCs/>
                <w:color w:val="000000" w:themeColor="text1"/>
                <w:sz w:val="21"/>
                <w:szCs w:val="21"/>
              </w:rPr>
              <w:t>7±1,2</w:t>
            </w:r>
          </w:p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rStyle w:val="a7"/>
                <w:b w:val="0"/>
                <w:color w:val="000000" w:themeColor="text1"/>
                <w:sz w:val="21"/>
                <w:szCs w:val="21"/>
              </w:rPr>
            </w:pPr>
          </w:p>
        </w:tc>
      </w:tr>
      <w:tr w:rsidR="004F168B" w:rsidRPr="00EE1197" w:rsidTr="00BF7CF2">
        <w:tc>
          <w:tcPr>
            <w:tcW w:w="4785" w:type="dxa"/>
          </w:tcPr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 w:themeColor="text1"/>
              </w:rPr>
            </w:pPr>
            <w:r w:rsidRPr="00EE1197">
              <w:rPr>
                <w:bCs/>
                <w:iCs/>
                <w:color w:val="000000" w:themeColor="text1"/>
              </w:rPr>
              <w:lastRenderedPageBreak/>
              <w:t>Максимальная интенсивность накопления контрастного препарата</w:t>
            </w:r>
            <w:r w:rsidRPr="00EE1197">
              <w:rPr>
                <w:bCs/>
                <w:color w:val="000000" w:themeColor="text1"/>
              </w:rPr>
              <w:t xml:space="preserve">, </w:t>
            </w:r>
          </w:p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iCs/>
                <w:color w:val="000000" w:themeColor="text1"/>
              </w:rPr>
            </w:pPr>
            <w:r w:rsidRPr="00EE1197">
              <w:rPr>
                <w:bCs/>
                <w:iCs/>
                <w:color w:val="000000" w:themeColor="text1"/>
                <w:lang w:val="en-US"/>
              </w:rPr>
              <w:t>PI</w:t>
            </w:r>
            <w:r w:rsidRPr="00EE1197">
              <w:rPr>
                <w:bCs/>
                <w:iCs/>
                <w:color w:val="000000" w:themeColor="text1"/>
              </w:rPr>
              <w:t xml:space="preserve"> (сек)</w:t>
            </w:r>
          </w:p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rStyle w:val="a7"/>
                <w:color w:val="000000" w:themeColor="text1"/>
              </w:rPr>
            </w:pPr>
          </w:p>
        </w:tc>
        <w:tc>
          <w:tcPr>
            <w:tcW w:w="1595" w:type="dxa"/>
          </w:tcPr>
          <w:p w:rsidR="004F168B" w:rsidRPr="00EE1197" w:rsidRDefault="00105125" w:rsidP="00EE30BD">
            <w:pPr>
              <w:pStyle w:val="a4"/>
              <w:spacing w:line="276" w:lineRule="auto"/>
              <w:jc w:val="both"/>
              <w:textAlignment w:val="baseline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64</w:t>
            </w:r>
            <w:r w:rsidR="004F168B" w:rsidRPr="00EE1197">
              <w:rPr>
                <w:bCs/>
                <w:color w:val="000000" w:themeColor="text1"/>
                <w:sz w:val="21"/>
                <w:szCs w:val="21"/>
              </w:rPr>
              <w:t>,77±1,4</w:t>
            </w:r>
          </w:p>
          <w:p w:rsidR="004F168B" w:rsidRPr="00EE1197" w:rsidRDefault="004F168B" w:rsidP="00EE30BD">
            <w:pPr>
              <w:pStyle w:val="a4"/>
              <w:spacing w:line="276" w:lineRule="auto"/>
              <w:jc w:val="both"/>
              <w:textAlignment w:val="baseline"/>
              <w:rPr>
                <w:rStyle w:val="a7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099" w:type="dxa"/>
          </w:tcPr>
          <w:p w:rsidR="004F168B" w:rsidRPr="00EE1197" w:rsidRDefault="00105125" w:rsidP="00EE30BD">
            <w:pPr>
              <w:pStyle w:val="a4"/>
              <w:spacing w:line="276" w:lineRule="auto"/>
              <w:jc w:val="both"/>
              <w:textAlignment w:val="baseline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12</w:t>
            </w:r>
            <w:r w:rsidR="00104E69" w:rsidRPr="00EE1197">
              <w:rPr>
                <w:bCs/>
                <w:color w:val="000000" w:themeColor="text1"/>
                <w:sz w:val="21"/>
                <w:szCs w:val="21"/>
              </w:rPr>
              <w:t>1</w:t>
            </w:r>
            <w:r w:rsidR="004F168B" w:rsidRPr="00EE1197">
              <w:rPr>
                <w:bCs/>
                <w:color w:val="000000" w:themeColor="text1"/>
                <w:sz w:val="21"/>
                <w:szCs w:val="21"/>
              </w:rPr>
              <w:t>,29±0,8</w:t>
            </w:r>
          </w:p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rStyle w:val="a7"/>
                <w:b w:val="0"/>
                <w:color w:val="000000" w:themeColor="text1"/>
                <w:sz w:val="21"/>
                <w:szCs w:val="21"/>
              </w:rPr>
            </w:pPr>
          </w:p>
        </w:tc>
      </w:tr>
      <w:tr w:rsidR="004F168B" w:rsidRPr="00EE1197" w:rsidTr="00BF7CF2">
        <w:tc>
          <w:tcPr>
            <w:tcW w:w="4785" w:type="dxa"/>
          </w:tcPr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iCs/>
                <w:color w:val="000000" w:themeColor="text1"/>
              </w:rPr>
            </w:pPr>
            <w:r w:rsidRPr="00EE1197">
              <w:rPr>
                <w:bCs/>
                <w:iCs/>
                <w:color w:val="000000" w:themeColor="text1"/>
              </w:rPr>
              <w:t>Время полувыведения контрастного препарата,</w:t>
            </w:r>
          </w:p>
          <w:p w:rsidR="004F168B" w:rsidRPr="00EE1197" w:rsidRDefault="004F168B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rStyle w:val="a7"/>
                <w:b w:val="0"/>
                <w:iCs/>
                <w:color w:val="000000" w:themeColor="text1"/>
              </w:rPr>
            </w:pPr>
            <w:r w:rsidRPr="00EE1197">
              <w:rPr>
                <w:bCs/>
                <w:iCs/>
                <w:color w:val="000000" w:themeColor="text1"/>
              </w:rPr>
              <w:t>Н</w:t>
            </w:r>
            <w:proofErr w:type="spellStart"/>
            <w:r w:rsidRPr="00EE1197">
              <w:rPr>
                <w:bCs/>
                <w:iCs/>
                <w:color w:val="000000" w:themeColor="text1"/>
                <w:lang w:val="en-US"/>
              </w:rPr>
              <w:t>TWo</w:t>
            </w:r>
            <w:proofErr w:type="spellEnd"/>
            <w:r w:rsidRPr="00EE1197">
              <w:rPr>
                <w:bCs/>
                <w:iCs/>
                <w:color w:val="000000" w:themeColor="text1"/>
              </w:rPr>
              <w:t xml:space="preserve"> (сек.)</w:t>
            </w:r>
          </w:p>
        </w:tc>
        <w:tc>
          <w:tcPr>
            <w:tcW w:w="1595" w:type="dxa"/>
          </w:tcPr>
          <w:p w:rsidR="004F168B" w:rsidRPr="00EE1197" w:rsidRDefault="00105125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rStyle w:val="a7"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84</w:t>
            </w:r>
            <w:r w:rsidR="004F168B" w:rsidRPr="00EE1197">
              <w:rPr>
                <w:bCs/>
                <w:color w:val="000000" w:themeColor="text1"/>
                <w:sz w:val="21"/>
                <w:szCs w:val="21"/>
              </w:rPr>
              <w:t>,5±1,1</w:t>
            </w:r>
          </w:p>
        </w:tc>
        <w:tc>
          <w:tcPr>
            <w:tcW w:w="1099" w:type="dxa"/>
          </w:tcPr>
          <w:p w:rsidR="004F168B" w:rsidRPr="00EE1197" w:rsidRDefault="00105125" w:rsidP="00EE30BD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rStyle w:val="a7"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85</w:t>
            </w:r>
            <w:r w:rsidR="004F168B" w:rsidRPr="00EE1197">
              <w:rPr>
                <w:bCs/>
                <w:color w:val="000000" w:themeColor="text1"/>
                <w:sz w:val="21"/>
                <w:szCs w:val="21"/>
              </w:rPr>
              <w:t>,21±0,9</w:t>
            </w:r>
          </w:p>
        </w:tc>
      </w:tr>
    </w:tbl>
    <w:p w:rsidR="004F168B" w:rsidRPr="00EE1197" w:rsidRDefault="004F168B" w:rsidP="00EE30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68B" w:rsidRPr="00EE1197" w:rsidRDefault="004F168B" w:rsidP="00EE30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пациентов 1 группы с СД 2 типа с наличием ангионефросклероза время начала артериальной фазы в 2,18 раза замедленно по сравнению с пациентами 2 группы с СД 2 типа без ангионефросклероза. Время достижения максимальной интенсивности накопления контрастного препарата у пациентов 1 группы в  2,3 раза медленнее, чем у пациентов 2 группы. Максимальная интенсивность накопления контрастного препарата в 1,5 раза медленнее, чем у пациентов 2 группы. Время полувыведения контрастного препарата практически одинаково у пациентов обоих клинических групп. Данные показатели логичны, поскольку основной патофизиологический механизм прогрессирования ХБП основан на увеличении уровня капиллярного давления в клубочках в результате повышения системного давления крови, расширения афферентных и сужения эфферентных артериол. По мнению </w:t>
      </w:r>
      <w:r w:rsidRPr="00EE1197">
        <w:rPr>
          <w:rFonts w:ascii="Times New Roman" w:hAnsi="Times New Roman"/>
          <w:sz w:val="24"/>
          <w:szCs w:val="24"/>
          <w:lang w:val="en-US"/>
        </w:rPr>
        <w:t>James</w:t>
      </w:r>
      <w:r w:rsidRPr="00EE1197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Pr="00EE1197">
        <w:rPr>
          <w:rFonts w:ascii="Times New Roman" w:hAnsi="Times New Roman"/>
          <w:sz w:val="24"/>
          <w:szCs w:val="24"/>
          <w:lang w:val="en-US"/>
        </w:rPr>
        <w:t>Sheiman</w:t>
      </w:r>
      <w:proofErr w:type="spellEnd"/>
      <w:r w:rsidRPr="00EE1197">
        <w:rPr>
          <w:rFonts w:ascii="Times New Roman" w:hAnsi="Times New Roman"/>
          <w:sz w:val="24"/>
          <w:szCs w:val="24"/>
        </w:rPr>
        <w:t xml:space="preserve">  - это влечет формирование ангионефросклероза.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770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[12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4F168B" w:rsidRPr="00EE1197" w:rsidRDefault="004F168B" w:rsidP="00EE30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68B" w:rsidRPr="00EE1197" w:rsidRDefault="004F168B" w:rsidP="00EE30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Качественные показатели, полученные по результатам КУУЗИ почек у пациентов  и</w:t>
      </w:r>
      <w:r w:rsidR="002D7DF7">
        <w:rPr>
          <w:rFonts w:ascii="Times New Roman" w:hAnsi="Times New Roman" w:cs="Times New Roman"/>
          <w:color w:val="000000" w:themeColor="text1"/>
          <w:sz w:val="24"/>
          <w:szCs w:val="24"/>
        </w:rPr>
        <w:t>сследуемых групп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введении 2,5 мл эхоконтрастного препарата «</w:t>
      </w:r>
      <w:proofErr w:type="spellStart"/>
      <w:r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SonoVue</w:t>
      </w:r>
      <w:proofErr w:type="spellEnd"/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proofErr w:type="spellStart"/>
      <w:r w:rsidRPr="00EE1197">
        <w:rPr>
          <w:rFonts w:ascii="Times New Roman" w:hAnsi="Times New Roman" w:cs="Times New Roman"/>
          <w:sz w:val="24"/>
          <w:szCs w:val="24"/>
        </w:rPr>
        <w:t>Bracco</w:t>
      </w:r>
      <w:proofErr w:type="spellEnd"/>
      <w:r w:rsidRPr="00EE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197">
        <w:rPr>
          <w:rFonts w:ascii="Times New Roman" w:hAnsi="Times New Roman" w:cs="Times New Roman"/>
          <w:sz w:val="24"/>
          <w:szCs w:val="24"/>
        </w:rPr>
        <w:t>Swiss</w:t>
      </w:r>
      <w:proofErr w:type="spellEnd"/>
      <w:r w:rsidRPr="00EE1197">
        <w:rPr>
          <w:rFonts w:ascii="Times New Roman" w:hAnsi="Times New Roman" w:cs="Times New Roman"/>
          <w:sz w:val="24"/>
          <w:szCs w:val="24"/>
        </w:rPr>
        <w:t xml:space="preserve"> S.A., Швейцария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)</w:t>
      </w:r>
      <w:r w:rsidR="006D6473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,  представлены на Рис.4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.:</w:t>
      </w:r>
    </w:p>
    <w:p w:rsidR="004F168B" w:rsidRPr="00EE1197" w:rsidRDefault="004F168B" w:rsidP="00EE30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777"/>
      </w:tblGrid>
      <w:tr w:rsidR="004F168B" w:rsidRPr="00EE1197" w:rsidTr="000B4104">
        <w:tc>
          <w:tcPr>
            <w:tcW w:w="4794" w:type="dxa"/>
          </w:tcPr>
          <w:p w:rsidR="004F168B" w:rsidRPr="00EE1197" w:rsidRDefault="004F168B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19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AD6CBA8" wp14:editId="6D4FB349">
                  <wp:extent cx="3019425" cy="1743075"/>
                  <wp:effectExtent l="0" t="0" r="9525" b="9525"/>
                  <wp:docPr id="3" name="Рисунок 3" descr="C:\Users\пк\Desktop\конференция 25 сент 2020\Арт 1,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esktop\конференция 25 сент 2020\Арт 1,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174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7" w:type="dxa"/>
          </w:tcPr>
          <w:p w:rsidR="004F168B" w:rsidRPr="00EE1197" w:rsidRDefault="000B4104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19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59DEDC2" wp14:editId="36B6F73B">
                  <wp:extent cx="3017520" cy="17437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743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68B" w:rsidRPr="00EE1197" w:rsidTr="000B4104">
        <w:tc>
          <w:tcPr>
            <w:tcW w:w="4794" w:type="dxa"/>
          </w:tcPr>
          <w:p w:rsidR="004F168B" w:rsidRPr="00EE1197" w:rsidRDefault="004F168B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Рис.5А</w:t>
            </w:r>
          </w:p>
        </w:tc>
        <w:tc>
          <w:tcPr>
            <w:tcW w:w="4777" w:type="dxa"/>
          </w:tcPr>
          <w:p w:rsidR="004F168B" w:rsidRPr="00EE1197" w:rsidRDefault="004F168B" w:rsidP="00EE30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Рис.5Б</w:t>
            </w:r>
          </w:p>
        </w:tc>
      </w:tr>
    </w:tbl>
    <w:p w:rsidR="004F168B" w:rsidRPr="00EE1197" w:rsidRDefault="004F168B" w:rsidP="00EE30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104" w:rsidRPr="00EE1197" w:rsidRDefault="006D6473" w:rsidP="00EE30BD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Рис. 4. КУУЗИ почек: </w:t>
      </w:r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– Пациентка Р., 44 года с СД 2 типа без наличия ангионефросклероза; В – Пациентка М., 56 лет с СД 2 типа </w:t>
      </w:r>
      <w:r w:rsidR="000B4104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proofErr w:type="gramStart"/>
      <w:r w:rsidR="000B4104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выявленным</w:t>
      </w:r>
      <w:proofErr w:type="gramEnd"/>
      <w:r w:rsidR="000B4104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ангионефросклерозом. </w:t>
      </w:r>
      <w:r w:rsidR="004F168B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5ABA" w:rsidRPr="00EE1197" w:rsidRDefault="00D05ABA" w:rsidP="00EE30B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1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Метод КУУЗИ почек на фоне СД 2 типа составил: чувствительность (91,8%), точность (89,9%). Режим ЦДК – чувствительность (67,5-80,4%), точность (57,4-74,9%). Колебание информации при ЦДК зависит от визуализации сосудов мелкого калибра.</w:t>
      </w:r>
    </w:p>
    <w:p w:rsidR="004F168B" w:rsidRPr="00EE1197" w:rsidRDefault="004F168B" w:rsidP="00EE30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197" w:rsidRPr="00EE1197" w:rsidRDefault="00EE1197" w:rsidP="00EE119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197">
        <w:rPr>
          <w:rFonts w:ascii="Times New Roman" w:hAnsi="Times New Roman" w:cs="Times New Roman"/>
          <w:color w:val="000000"/>
          <w:sz w:val="24"/>
          <w:szCs w:val="24"/>
        </w:rPr>
        <w:t>Обсуждение:</w:t>
      </w:r>
    </w:p>
    <w:p w:rsidR="00EE1197" w:rsidRPr="00EE1197" w:rsidRDefault="00EE1197" w:rsidP="00EE119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68B" w:rsidRPr="00EE1197" w:rsidRDefault="00EE1197" w:rsidP="00EE119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1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Диабетическая болезнь почек - это прогрессирующее и длительное осложнение СД 2 типа, являющееся</w:t>
      </w:r>
      <w:r w:rsidR="002D7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19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воздействия метаболических и гемодинамических факторов </w:t>
      </w:r>
      <w:proofErr w:type="gramStart"/>
      <w:r w:rsidRPr="00EE119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E1197">
        <w:rPr>
          <w:rFonts w:ascii="Times New Roman" w:hAnsi="Times New Roman" w:cs="Times New Roman"/>
          <w:color w:val="000000"/>
          <w:sz w:val="24"/>
          <w:szCs w:val="24"/>
        </w:rPr>
        <w:t xml:space="preserve"> почечную микроциркуляцию и регулируются генетическими факторами. Именно поэтому необходим комплексный подход в диагностике конкретной патологии. </w:t>
      </w:r>
      <w:r w:rsidRPr="00EE1197">
        <w:rPr>
          <w:rFonts w:ascii="Times New Roman" w:hAnsi="Times New Roman" w:cs="Times New Roman"/>
          <w:sz w:val="24"/>
          <w:szCs w:val="24"/>
        </w:rPr>
        <w:t xml:space="preserve">[4]. 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Патофизиологический механизм прогрессирования ХБП основан на увеличении уровня капиллярного давления в почечных клубочках, что влечет повышение системного давления крови, расширение афферентных и сужение эфферентных артериол. По мнению </w:t>
      </w:r>
      <w:r w:rsidRPr="00EE1197">
        <w:rPr>
          <w:rFonts w:ascii="Times New Roman" w:hAnsi="Times New Roman" w:cs="Times New Roman"/>
          <w:sz w:val="24"/>
          <w:szCs w:val="24"/>
          <w:lang w:val="en-US"/>
        </w:rPr>
        <w:t>James</w:t>
      </w:r>
      <w:r w:rsidRPr="00EE1197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EE1197">
        <w:rPr>
          <w:rFonts w:ascii="Times New Roman" w:hAnsi="Times New Roman" w:cs="Times New Roman"/>
          <w:sz w:val="24"/>
          <w:szCs w:val="24"/>
          <w:lang w:val="en-US"/>
        </w:rPr>
        <w:t>Sheiman</w:t>
      </w:r>
      <w:proofErr w:type="spellEnd"/>
      <w:r w:rsidRPr="00EE1197">
        <w:rPr>
          <w:rFonts w:ascii="Times New Roman" w:hAnsi="Times New Roman" w:cs="Times New Roman"/>
          <w:sz w:val="24"/>
          <w:szCs w:val="24"/>
        </w:rPr>
        <w:t xml:space="preserve">  - это центральный механизм формирования ангионефросклероза.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[12]. </w:t>
      </w:r>
      <w:proofErr w:type="gramStart"/>
      <w:r w:rsidRPr="00EE1197">
        <w:rPr>
          <w:rFonts w:ascii="Times New Roman" w:hAnsi="Times New Roman" w:cs="Times New Roman"/>
          <w:color w:val="000000"/>
          <w:sz w:val="24"/>
          <w:szCs w:val="24"/>
        </w:rPr>
        <w:t>Контраст-усиленное</w:t>
      </w:r>
      <w:proofErr w:type="gramEnd"/>
      <w:r w:rsidRPr="00EE1197">
        <w:rPr>
          <w:rFonts w:ascii="Times New Roman" w:hAnsi="Times New Roman" w:cs="Times New Roman"/>
          <w:color w:val="000000"/>
          <w:sz w:val="24"/>
          <w:szCs w:val="24"/>
        </w:rPr>
        <w:t xml:space="preserve"> ультразвуковое исследование, как эффективный неионизирующий метод лучевой диагностике, совместно с клиническими и лабораторными данными, может создать стойкую платформу для контроля прогрессирования диабетической болезни почек. В </w:t>
      </w:r>
      <w:proofErr w:type="gramStart"/>
      <w:r w:rsidRPr="00EE1197">
        <w:rPr>
          <w:rFonts w:ascii="Times New Roman" w:hAnsi="Times New Roman" w:cs="Times New Roman"/>
          <w:color w:val="000000"/>
          <w:sz w:val="24"/>
          <w:szCs w:val="24"/>
        </w:rPr>
        <w:t>Европейский</w:t>
      </w:r>
      <w:proofErr w:type="gramEnd"/>
      <w:r w:rsidRPr="00EE1197">
        <w:rPr>
          <w:rFonts w:ascii="Times New Roman" w:hAnsi="Times New Roman" w:cs="Times New Roman"/>
          <w:color w:val="000000"/>
          <w:sz w:val="24"/>
          <w:szCs w:val="24"/>
        </w:rPr>
        <w:t xml:space="preserve"> клинических рекомендациях по внепеченочному применению  ультразвуковых контрастных препаратов 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[4] отмечена значимость применения </w:t>
      </w:r>
      <w:proofErr w:type="spellStart"/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эхоконтрастный</w:t>
      </w:r>
      <w:proofErr w:type="spellEnd"/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препаратов у пациентов с прогрессирующей ХБП, что позволяет расширять зону исследований в этой области.</w:t>
      </w:r>
      <w:r w:rsidRPr="00EE1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1197">
        <w:rPr>
          <w:rFonts w:ascii="Times New Roman" w:hAnsi="Times New Roman" w:cs="Times New Roman"/>
          <w:sz w:val="24"/>
          <w:szCs w:val="24"/>
          <w:lang w:val="en-US"/>
        </w:rPr>
        <w:t>Anna</w:t>
      </w:r>
      <w:r w:rsidRPr="00EE1197">
        <w:rPr>
          <w:rFonts w:ascii="Times New Roman" w:hAnsi="Times New Roman" w:cs="Times New Roman"/>
          <w:sz w:val="24"/>
          <w:szCs w:val="24"/>
        </w:rPr>
        <w:t xml:space="preserve"> </w:t>
      </w:r>
      <w:r w:rsidRPr="00EE119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E1197">
        <w:rPr>
          <w:rFonts w:ascii="Times New Roman" w:hAnsi="Times New Roman" w:cs="Times New Roman"/>
          <w:sz w:val="24"/>
          <w:szCs w:val="24"/>
        </w:rPr>
        <w:t xml:space="preserve">. </w:t>
      </w:r>
      <w:r w:rsidRPr="00EE1197">
        <w:rPr>
          <w:rFonts w:ascii="Times New Roman" w:hAnsi="Times New Roman" w:cs="Times New Roman"/>
          <w:sz w:val="24"/>
          <w:szCs w:val="24"/>
          <w:lang w:val="en-US"/>
        </w:rPr>
        <w:t>Emanuel</w:t>
      </w:r>
      <w:r w:rsidRPr="00EE119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E1197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EE1197">
        <w:rPr>
          <w:rFonts w:ascii="Times New Roman" w:hAnsi="Times New Roman" w:cs="Times New Roman"/>
          <w:sz w:val="24"/>
          <w:szCs w:val="24"/>
        </w:rPr>
        <w:t xml:space="preserve"> </w:t>
      </w:r>
      <w:r w:rsidRPr="00EE1197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EE1197">
        <w:rPr>
          <w:rFonts w:ascii="Times New Roman" w:hAnsi="Times New Roman" w:cs="Times New Roman"/>
          <w:sz w:val="24"/>
          <w:szCs w:val="24"/>
        </w:rPr>
        <w:t xml:space="preserve">. </w:t>
      </w:r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[10] (2019) продемонстрировали методологический обзор КУУЗИ, его развитие, а также влияние программных и аппаратных настроек для визуализации микропузырьков.</w:t>
      </w:r>
      <w:proofErr w:type="gramEnd"/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119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E1197">
        <w:rPr>
          <w:rFonts w:ascii="Times New Roman" w:hAnsi="Times New Roman" w:cs="Times New Roman"/>
          <w:sz w:val="24"/>
          <w:szCs w:val="24"/>
        </w:rPr>
        <w:t xml:space="preserve">В данном исследовании отмечалась принципиальная важность калибровки настроек аппарата до начала проведения исследования, а также преимущество КУУЗИ перед компьютерной томографией и магнитно-резонансным методом исследования. </w:t>
      </w:r>
      <w:r w:rsidRPr="00EE1197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нашего исследования механический индекс использовался в низких позициях в режиме реального времени (0,06), а акустическая мощность была увеличена на 30%, что увеличило амплитуду отраженных сигналов благодаря гармоническому резонансу, что в дальнейшем улучшило качественные параметры изображений. Калибровка данных режимов не отразились на качестве визуализации и в последующем интерпретации полученных результатов. Благодаря снижению дозы вводимого эхоконтрастного препарата будет происходить уменьшение материальный затрат на одного пациента с </w:t>
      </w:r>
      <w:r w:rsidRPr="00EE1197">
        <w:rPr>
          <w:rFonts w:ascii="Times New Roman" w:hAnsi="Times New Roman" w:cs="Times New Roman"/>
          <w:sz w:val="24"/>
          <w:szCs w:val="24"/>
        </w:rPr>
        <w:t>диабетической нефропатии</w:t>
      </w:r>
      <w:r w:rsidRPr="00EE1197">
        <w:rPr>
          <w:rFonts w:ascii="Times New Roman" w:hAnsi="Times New Roman" w:cs="Times New Roman"/>
          <w:color w:val="000000"/>
          <w:sz w:val="24"/>
          <w:szCs w:val="24"/>
        </w:rPr>
        <w:t>, а также числа инвалидизации и смертности населения.</w:t>
      </w:r>
    </w:p>
    <w:p w:rsidR="00EE1197" w:rsidRPr="00EE1197" w:rsidRDefault="00EE1197" w:rsidP="00EE30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5024" w:rsidRPr="00EE1197" w:rsidRDefault="004F168B" w:rsidP="00EE30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1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Выводы: </w:t>
      </w:r>
      <w:r w:rsidR="000B4104" w:rsidRPr="00EE119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B4104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применение контраст-усиленного ультразвукового исследования в ранней диагностике ангионефросклероза у пациентов с </w:t>
      </w:r>
      <w:r w:rsidR="00AC42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>диабетической нефропатией</w:t>
      </w:r>
      <w:r w:rsidR="00AC4299"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FD"/>
        </w:rPr>
        <w:t xml:space="preserve"> </w:t>
      </w:r>
      <w:r w:rsidR="000B4104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типа является перспективным методом визуализации с отсутствием лучевой нагрузки</w:t>
      </w:r>
      <w:r w:rsidR="001051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2A67" w:rsidRPr="00EE1197" w:rsidRDefault="00772A67" w:rsidP="00EE30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A67" w:rsidRPr="00BC50AA" w:rsidRDefault="00772A67" w:rsidP="00EE30B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1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</w:t>
      </w:r>
      <w:r w:rsidRPr="00BC50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E11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литературы</w:t>
      </w:r>
      <w:r w:rsidRPr="00BC50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D6473" w:rsidRPr="00EE1197" w:rsidRDefault="006D6473" w:rsidP="00EE3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97">
        <w:rPr>
          <w:rFonts w:ascii="Times New Roman" w:hAnsi="Times New Roman" w:cs="Times New Roman"/>
          <w:sz w:val="24"/>
          <w:szCs w:val="24"/>
        </w:rPr>
        <w:t xml:space="preserve">1. </w:t>
      </w:r>
      <w:r w:rsidRPr="00EE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Сенча А.Н., Могутов М.С., Патрунов Ю.Н., и др. </w:t>
      </w:r>
      <w:r w:rsidRPr="00EE1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Ультразвуковое исследование с использованием контрастных препаратов</w:t>
      </w:r>
      <w:r w:rsidRPr="00EE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EE11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Видар</w:t>
      </w:r>
      <w:proofErr w:type="spellEnd"/>
      <w:r w:rsidRPr="00EE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-М; 2015: 144 </w:t>
      </w:r>
    </w:p>
    <w:p w:rsidR="006D6473" w:rsidRPr="00BC50AA" w:rsidRDefault="006D6473" w:rsidP="00EE30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E1197">
        <w:rPr>
          <w:rFonts w:ascii="Times New Roman" w:hAnsi="Times New Roman" w:cs="Times New Roman"/>
          <w:sz w:val="24"/>
          <w:szCs w:val="24"/>
        </w:rPr>
        <w:t>Weskott</w:t>
      </w:r>
      <w:proofErr w:type="spellEnd"/>
      <w:r w:rsidRPr="00EE1197">
        <w:rPr>
          <w:rFonts w:ascii="Times New Roman" w:hAnsi="Times New Roman" w:cs="Times New Roman"/>
          <w:sz w:val="24"/>
          <w:szCs w:val="24"/>
        </w:rPr>
        <w:t xml:space="preserve"> H.-P. </w:t>
      </w:r>
      <w:proofErr w:type="gramStart"/>
      <w:r w:rsidRPr="00EE1197">
        <w:rPr>
          <w:rFonts w:ascii="Times New Roman" w:hAnsi="Times New Roman" w:cs="Times New Roman"/>
          <w:iCs/>
          <w:sz w:val="24"/>
          <w:szCs w:val="24"/>
        </w:rPr>
        <w:t>Контрастная</w:t>
      </w:r>
      <w:proofErr w:type="gramEnd"/>
      <w:r w:rsidRPr="00EE119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E1197">
        <w:rPr>
          <w:rFonts w:ascii="Times New Roman" w:hAnsi="Times New Roman" w:cs="Times New Roman"/>
          <w:iCs/>
          <w:sz w:val="24"/>
          <w:szCs w:val="24"/>
        </w:rPr>
        <w:t>сонография</w:t>
      </w:r>
      <w:proofErr w:type="spellEnd"/>
      <w:r w:rsidRPr="00EE1197">
        <w:rPr>
          <w:rFonts w:ascii="Times New Roman" w:hAnsi="Times New Roman" w:cs="Times New Roman"/>
          <w:sz w:val="24"/>
          <w:szCs w:val="24"/>
        </w:rPr>
        <w:t>. 1-е изд. Бремен</w:t>
      </w:r>
      <w:r w:rsidRPr="00BC50AA">
        <w:rPr>
          <w:rFonts w:ascii="Times New Roman" w:hAnsi="Times New Roman" w:cs="Times New Roman"/>
          <w:sz w:val="24"/>
          <w:szCs w:val="24"/>
        </w:rPr>
        <w:t xml:space="preserve">: </w:t>
      </w:r>
      <w:r w:rsidRPr="00EE1197">
        <w:rPr>
          <w:rFonts w:ascii="Times New Roman" w:hAnsi="Times New Roman" w:cs="Times New Roman"/>
          <w:sz w:val="24"/>
          <w:szCs w:val="24"/>
          <w:lang w:val="en-US"/>
        </w:rPr>
        <w:t>UNI</w:t>
      </w:r>
      <w:r w:rsidRPr="00BC50AA">
        <w:rPr>
          <w:rFonts w:ascii="Times New Roman" w:hAnsi="Times New Roman" w:cs="Times New Roman"/>
          <w:sz w:val="24"/>
          <w:szCs w:val="24"/>
        </w:rPr>
        <w:t>-</w:t>
      </w:r>
      <w:r w:rsidRPr="00EE1197"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Pr="00BC50AA">
        <w:rPr>
          <w:rFonts w:ascii="Times New Roman" w:hAnsi="Times New Roman" w:cs="Times New Roman"/>
          <w:sz w:val="24"/>
          <w:szCs w:val="24"/>
        </w:rPr>
        <w:t xml:space="preserve">, 2014: 284 </w:t>
      </w:r>
    </w:p>
    <w:p w:rsidR="006D6473" w:rsidRPr="00EE1197" w:rsidRDefault="006D6473" w:rsidP="00EE30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EE119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EE1197">
        <w:rPr>
          <w:rFonts w:ascii="Times New Roman" w:hAnsi="Times New Roman" w:cs="Times New Roman"/>
          <w:iCs/>
          <w:sz w:val="24"/>
          <w:szCs w:val="24"/>
          <w:lang w:val="en-US"/>
        </w:rPr>
        <w:t>Solovev</w:t>
      </w:r>
      <w:proofErr w:type="spellEnd"/>
      <w:r w:rsidRPr="00EE119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E1197">
        <w:rPr>
          <w:rFonts w:ascii="Times New Roman" w:hAnsi="Times New Roman" w:cs="Times New Roman"/>
          <w:iCs/>
          <w:sz w:val="24"/>
          <w:szCs w:val="24"/>
          <w:lang w:val="en-US"/>
        </w:rPr>
        <w:t>Ya.A</w:t>
      </w:r>
      <w:proofErr w:type="spellEnd"/>
      <w:r w:rsidRPr="00EE119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., </w:t>
      </w:r>
      <w:proofErr w:type="spellStart"/>
      <w:r w:rsidRPr="00EE1197">
        <w:rPr>
          <w:rFonts w:ascii="Times New Roman" w:hAnsi="Times New Roman" w:cs="Times New Roman"/>
          <w:iCs/>
          <w:sz w:val="24"/>
          <w:szCs w:val="24"/>
          <w:lang w:val="en-US"/>
        </w:rPr>
        <w:t>Mitina</w:t>
      </w:r>
      <w:proofErr w:type="spellEnd"/>
      <w:r w:rsidRPr="00EE119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L.A., </w:t>
      </w:r>
      <w:proofErr w:type="spellStart"/>
      <w:r w:rsidRPr="00EE1197">
        <w:rPr>
          <w:rFonts w:ascii="Times New Roman" w:hAnsi="Times New Roman" w:cs="Times New Roman"/>
          <w:iCs/>
          <w:sz w:val="24"/>
          <w:szCs w:val="24"/>
          <w:lang w:val="en-US"/>
        </w:rPr>
        <w:t>Mitkova</w:t>
      </w:r>
      <w:proofErr w:type="spellEnd"/>
      <w:r w:rsidRPr="00EE119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M.D. </w:t>
      </w:r>
      <w:r w:rsidRPr="00EE119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Contrast-enhanced ultrasound (CEUS) in differential diagnosis of benign and malignant renal tumors. </w:t>
      </w:r>
      <w:proofErr w:type="gramStart"/>
      <w:r w:rsidRPr="00EE1197">
        <w:rPr>
          <w:rFonts w:ascii="Times New Roman" w:hAnsi="Times New Roman" w:cs="Times New Roman"/>
          <w:iCs/>
          <w:sz w:val="24"/>
          <w:szCs w:val="24"/>
          <w:lang w:val="en-US"/>
        </w:rPr>
        <w:t>Ultrasound and Functional Diagnostics.</w:t>
      </w:r>
      <w:proofErr w:type="gramEnd"/>
      <w:r w:rsidRPr="00EE119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2018; 4: 46–64</w:t>
      </w:r>
    </w:p>
    <w:p w:rsidR="00772A67" w:rsidRPr="00EE1197" w:rsidRDefault="006D6473" w:rsidP="00EE30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Sidhu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P.S.,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Cantisani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V., Dietrich C.F.,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Gilja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O.H.,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Saftoiu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A., Bartels E.,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Bertolotto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Calliada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Clevert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D.A., Cosgrove D.,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Deganello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D’Onofrio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Drudi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F.M., Freeman S., Harvey C.,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Jenssen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C., Jung E.M.,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Klauser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A.S.,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Lassau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Meloni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M.F.,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Leen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Nicolau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Nolsoe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Piscaglia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F., Prada F.,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Prosch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Radzina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Savelli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Weskott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H.P.,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Wijkstra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H. </w:t>
      </w:r>
      <w:r w:rsidR="00772A67" w:rsidRPr="00EE119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lastRenderedPageBreak/>
        <w:t>The EFSUMB guidelines and recommendations for the clinical practice of contrast-enhanced ultrasound (CEUS) in non-hepatic applications: update 2017 (long version)</w:t>
      </w:r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Ultraschall</w:t>
      </w:r>
      <w:proofErr w:type="spellEnd"/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Med. 2018: 39 (2); e2–e44.</w:t>
      </w:r>
      <w:proofErr w:type="gramEnd"/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oi</w:t>
      </w:r>
      <w:proofErr w:type="spellEnd"/>
      <w:proofErr w:type="gram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10.1055/a-0586-1107.</w:t>
      </w:r>
    </w:p>
    <w:p w:rsidR="00772A67" w:rsidRPr="00EE1197" w:rsidRDefault="00293770" w:rsidP="00EE30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Claudon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M., Dietrich C.F., Choi B.I., Cosgrove D.O.,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Kudo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Nolsoe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C.P.,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Piscaglia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F., Wilson S.R., Barr R.G.,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Chammas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M.C.,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Chaubal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N.G., Chen M.H.,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Clevert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D.A.,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Correas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J.M., Ding H., Forsberg F.,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Fowlkes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J.B., Gibson R.N., Goldberg B.B.,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Lassau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Leen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E.L.,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Mattrey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R.F.,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Moriyasu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Solbiati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Weskott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H.P.,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Xu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H.X. </w:t>
      </w:r>
      <w:r w:rsidR="00772A67" w:rsidRPr="00EE119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Guidelines and good clinical practice recommendations for contrast enhanced ultrasound (CEUS) in the liver – update 2012: a WFUMB-EFSUMB initiative in cooperation with representatives of AFSUMB, AIUM, ASUM, FLAUS and ICUS</w:t>
      </w:r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Ultraschall</w:t>
      </w:r>
      <w:proofErr w:type="spellEnd"/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Med. 2013</w:t>
      </w:r>
      <w:r w:rsidR="00B22A69" w:rsidRPr="00BC50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34</w:t>
      </w:r>
      <w:r w:rsidR="00B22A69" w:rsidRPr="00BC50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B22A69" w:rsidRPr="00BC50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);</w:t>
      </w:r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11–29. </w:t>
      </w:r>
      <w:proofErr w:type="spellStart"/>
      <w:proofErr w:type="gramStart"/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oi</w:t>
      </w:r>
      <w:proofErr w:type="spellEnd"/>
      <w:proofErr w:type="gram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10.1055/s-0032-1325499.</w:t>
      </w:r>
    </w:p>
    <w:p w:rsidR="00772A67" w:rsidRPr="00EE1197" w:rsidRDefault="00293770" w:rsidP="00EE30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Targher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Bertolini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Rodella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S., et al. </w:t>
      </w:r>
      <w:r w:rsidR="00772A67" w:rsidRPr="00EE119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Nonalcoholic fatty liver disease is independently associated with an increased prevalence of chronic kidney disease and proliferative/laser-treated</w:t>
      </w:r>
      <w:r w:rsidR="00B22A69" w:rsidRPr="00EE119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772A67" w:rsidRPr="00EE119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retinopathy in type 2 diabetic patients</w:t>
      </w:r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Diabetologia</w:t>
      </w:r>
      <w:proofErr w:type="spellEnd"/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2008</w:t>
      </w:r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51</w:t>
      </w:r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444–450.</w:t>
      </w:r>
    </w:p>
    <w:p w:rsidR="00772A67" w:rsidRPr="00EE1197" w:rsidRDefault="00293770" w:rsidP="00EE30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772A67" w:rsidRPr="00EE119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Targher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Chonchol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Bertolini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L., et al. </w:t>
      </w:r>
      <w:r w:rsidR="00772A67" w:rsidRPr="00EE119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Relationship between kidney function and liver histology in subjects with nonalcoholic </w:t>
      </w:r>
      <w:proofErr w:type="spellStart"/>
      <w:r w:rsidR="00772A67" w:rsidRPr="00EE119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steatohepatitis</w:t>
      </w:r>
      <w:proofErr w:type="spellEnd"/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Clin</w:t>
      </w:r>
      <w:proofErr w:type="spellEnd"/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J. Am. Soc. </w:t>
      </w:r>
      <w:proofErr w:type="spellStart"/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Nephrol</w:t>
      </w:r>
      <w:proofErr w:type="spellEnd"/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2010</w:t>
      </w:r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2166–2171.</w:t>
      </w:r>
    </w:p>
    <w:p w:rsidR="00772A67" w:rsidRPr="00BC50AA" w:rsidRDefault="00293770" w:rsidP="00EE30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Sit D.,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Kadiroglu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A. K.,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Kayabasi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H.,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Yilmaz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M. E. </w:t>
      </w:r>
      <w:proofErr w:type="gramStart"/>
      <w:r w:rsidR="00772A67" w:rsidRPr="00EE119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The prevalence of insulin resistance in </w:t>
      </w:r>
      <w:proofErr w:type="spellStart"/>
      <w:r w:rsidR="00772A67" w:rsidRPr="00EE119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nondiabetic</w:t>
      </w:r>
      <w:proofErr w:type="spellEnd"/>
      <w:r w:rsidR="00772A67" w:rsidRPr="00EE119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2A67" w:rsidRPr="00EE119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nonobese</w:t>
      </w:r>
      <w:proofErr w:type="spellEnd"/>
      <w:r w:rsidR="00772A67" w:rsidRPr="00EE119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patients with chronic kidney disease.</w:t>
      </w:r>
      <w:proofErr w:type="gram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Adv</w:t>
      </w:r>
      <w:proofErr w:type="spellEnd"/>
      <w:r w:rsidR="00772A67" w:rsidRPr="00BC5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Ther</w:t>
      </w:r>
      <w:proofErr w:type="spellEnd"/>
      <w:r w:rsidR="00B22A69" w:rsidRPr="00BC50AA">
        <w:rPr>
          <w:rFonts w:ascii="Times New Roman" w:hAnsi="Times New Roman" w:cs="Times New Roman"/>
          <w:color w:val="000000" w:themeColor="text1"/>
          <w:sz w:val="24"/>
          <w:szCs w:val="24"/>
        </w:rPr>
        <w:t>. 2000</w:t>
      </w:r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22A69" w:rsidRPr="00BC50AA">
        <w:rPr>
          <w:rFonts w:ascii="Times New Roman" w:hAnsi="Times New Roman" w:cs="Times New Roman"/>
          <w:color w:val="000000" w:themeColor="text1"/>
          <w:sz w:val="24"/>
          <w:szCs w:val="24"/>
        </w:rPr>
        <w:t>23 (6)</w:t>
      </w:r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72A67" w:rsidRPr="00BC5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988–998.</w:t>
      </w:r>
    </w:p>
    <w:p w:rsidR="006D6473" w:rsidRPr="00EE1197" w:rsidRDefault="00293770" w:rsidP="00EE30B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D6473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6473" w:rsidRPr="00EE11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D6473"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Тиханкова</w:t>
      </w:r>
      <w:proofErr w:type="spellEnd"/>
      <w:r w:rsidR="006D6473"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А.В., </w:t>
      </w:r>
      <w:proofErr w:type="spellStart"/>
      <w:r w:rsidR="006D6473"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Борсуков</w:t>
      </w:r>
      <w:proofErr w:type="spellEnd"/>
      <w:r w:rsidR="006D6473"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А.В., </w:t>
      </w:r>
      <w:proofErr w:type="spellStart"/>
      <w:r w:rsidR="006D6473"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Буеверов</w:t>
      </w:r>
      <w:proofErr w:type="spellEnd"/>
      <w:r w:rsidR="006D6473"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А.О., и др. </w:t>
      </w:r>
      <w:r w:rsidR="006D6473" w:rsidRPr="00EE119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Усовершенствованная методика контрастно-усиленного ультразвукового исследования при хронических вирусных гепатитах</w:t>
      </w:r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Клиническая практика. </w:t>
      </w:r>
      <w:r w:rsidR="006D6473"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2019</w:t>
      </w:r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10 (1);</w:t>
      </w:r>
      <w:r w:rsidR="006D6473"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4-9. </w:t>
      </w:r>
      <w:proofErr w:type="spellStart"/>
      <w:r w:rsidR="006D6473"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doi</w:t>
      </w:r>
      <w:proofErr w:type="spellEnd"/>
      <w:r w:rsidR="006D6473" w:rsidRPr="00EE1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16" w:history="1">
        <w:r w:rsidR="006D6473" w:rsidRPr="00EE119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10.17816/clinpract1014-9</w:t>
        </w:r>
      </w:hyperlink>
    </w:p>
    <w:p w:rsidR="00772A67" w:rsidRPr="00EE1197" w:rsidRDefault="00293770" w:rsidP="00EE30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Козлова Е.Ю. </w:t>
      </w:r>
      <w:r w:rsidR="00772A67" w:rsidRPr="00EE11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Особенности структурно-функционального состояния почек у детей подросткового возраста с ожирением</w:t>
      </w:r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дис</w:t>
      </w:r>
      <w:proofErr w:type="spell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…канд. мед</w:t>
      </w:r>
      <w:proofErr w:type="gram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аук:14.01.08. – Смол</w:t>
      </w:r>
      <w:proofErr w:type="gram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772A67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ос. мед. унив</w:t>
      </w:r>
      <w:r w:rsidR="00B22A69" w:rsidRPr="00EE1197">
        <w:rPr>
          <w:rFonts w:ascii="Times New Roman" w:hAnsi="Times New Roman" w:cs="Times New Roman"/>
          <w:color w:val="000000" w:themeColor="text1"/>
          <w:sz w:val="24"/>
          <w:szCs w:val="24"/>
        </w:rPr>
        <w:t>ерситет, Смоленск. 2018; 147</w:t>
      </w:r>
    </w:p>
    <w:p w:rsidR="00772A67" w:rsidRPr="00EE1197" w:rsidRDefault="00293770" w:rsidP="00EE30BD">
      <w:pPr>
        <w:pStyle w:val="Default"/>
        <w:spacing w:line="276" w:lineRule="auto"/>
        <w:jc w:val="both"/>
      </w:pPr>
      <w:r w:rsidRPr="00EE1197">
        <w:rPr>
          <w:color w:val="000000" w:themeColor="text1"/>
          <w:lang w:val="en-US"/>
        </w:rPr>
        <w:t>11</w:t>
      </w:r>
      <w:r w:rsidR="00772A67" w:rsidRPr="00EE1197">
        <w:rPr>
          <w:color w:val="000000" w:themeColor="text1"/>
          <w:lang w:val="en-US"/>
        </w:rPr>
        <w:t xml:space="preserve">. </w:t>
      </w:r>
      <w:proofErr w:type="spellStart"/>
      <w:r w:rsidR="00772A67" w:rsidRPr="00EE1197">
        <w:rPr>
          <w:szCs w:val="28"/>
          <w:lang w:val="en-US"/>
        </w:rPr>
        <w:t>Bertolotto</w:t>
      </w:r>
      <w:proofErr w:type="spellEnd"/>
      <w:r w:rsidR="00772A67" w:rsidRPr="00EE1197">
        <w:rPr>
          <w:szCs w:val="28"/>
          <w:lang w:val="en-US"/>
        </w:rPr>
        <w:t>, M</w:t>
      </w:r>
      <w:r w:rsidR="00B22A69" w:rsidRPr="00EE1197">
        <w:rPr>
          <w:szCs w:val="28"/>
          <w:lang w:val="en-US"/>
        </w:rPr>
        <w:t xml:space="preserve">., </w:t>
      </w:r>
      <w:proofErr w:type="spellStart"/>
      <w:r w:rsidR="00B22A69" w:rsidRPr="00EE1197">
        <w:rPr>
          <w:szCs w:val="28"/>
          <w:lang w:val="en-US"/>
        </w:rPr>
        <w:t>Quaia</w:t>
      </w:r>
      <w:proofErr w:type="spellEnd"/>
      <w:r w:rsidR="00B22A69" w:rsidRPr="00EE1197">
        <w:rPr>
          <w:szCs w:val="28"/>
          <w:lang w:val="en-US"/>
        </w:rPr>
        <w:t xml:space="preserve">, E., </w:t>
      </w:r>
      <w:proofErr w:type="spellStart"/>
      <w:r w:rsidR="00B22A69" w:rsidRPr="00EE1197">
        <w:rPr>
          <w:szCs w:val="28"/>
          <w:lang w:val="en-US"/>
        </w:rPr>
        <w:t>Galli</w:t>
      </w:r>
      <w:proofErr w:type="spellEnd"/>
      <w:r w:rsidR="00B22A69" w:rsidRPr="00EE1197">
        <w:rPr>
          <w:szCs w:val="28"/>
          <w:lang w:val="en-US"/>
        </w:rPr>
        <w:t xml:space="preserve"> G. et al. </w:t>
      </w:r>
      <w:r w:rsidR="00772A67" w:rsidRPr="00EE1197">
        <w:rPr>
          <w:i/>
          <w:szCs w:val="28"/>
          <w:lang w:val="en-US"/>
        </w:rPr>
        <w:t xml:space="preserve">Color Doppler </w:t>
      </w:r>
      <w:proofErr w:type="spellStart"/>
      <w:r w:rsidR="00772A67" w:rsidRPr="00EE1197">
        <w:rPr>
          <w:i/>
          <w:szCs w:val="28"/>
          <w:lang w:val="en-US"/>
        </w:rPr>
        <w:t>sonographic</w:t>
      </w:r>
      <w:proofErr w:type="spellEnd"/>
      <w:r w:rsidR="00772A67" w:rsidRPr="00EE1197">
        <w:rPr>
          <w:i/>
          <w:szCs w:val="28"/>
          <w:lang w:val="en-US"/>
        </w:rPr>
        <w:t xml:space="preserve"> appearance of renal perforating vessels in subjects with normal and impaired renal function</w:t>
      </w:r>
      <w:r w:rsidR="00B22A69" w:rsidRPr="00EE1197">
        <w:rPr>
          <w:szCs w:val="28"/>
          <w:lang w:val="en-US"/>
        </w:rPr>
        <w:t>.</w:t>
      </w:r>
      <w:r w:rsidR="00772A67" w:rsidRPr="00EE1197">
        <w:rPr>
          <w:szCs w:val="28"/>
          <w:lang w:val="en-US"/>
        </w:rPr>
        <w:t xml:space="preserve"> </w:t>
      </w:r>
      <w:proofErr w:type="gramStart"/>
      <w:r w:rsidR="00772A67" w:rsidRPr="00EE1197">
        <w:rPr>
          <w:szCs w:val="28"/>
          <w:lang w:val="en-US"/>
        </w:rPr>
        <w:t>Jo</w:t>
      </w:r>
      <w:r w:rsidR="00B22A69" w:rsidRPr="00EE1197">
        <w:rPr>
          <w:szCs w:val="28"/>
          <w:lang w:val="en-US"/>
        </w:rPr>
        <w:t>urnal of Clinical Ultrasound.</w:t>
      </w:r>
      <w:proofErr w:type="gramEnd"/>
      <w:r w:rsidR="00B22A69" w:rsidRPr="00EE1197">
        <w:rPr>
          <w:szCs w:val="28"/>
          <w:lang w:val="en-US"/>
        </w:rPr>
        <w:t xml:space="preserve"> </w:t>
      </w:r>
      <w:r w:rsidR="00B22A69" w:rsidRPr="00EE1197">
        <w:rPr>
          <w:szCs w:val="28"/>
        </w:rPr>
        <w:t>2000: 28 (6); 267-276</w:t>
      </w:r>
    </w:p>
    <w:p w:rsidR="00293770" w:rsidRPr="00293770" w:rsidRDefault="00293770" w:rsidP="00EE30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EE1197">
        <w:rPr>
          <w:rFonts w:ascii="Times New Roman" w:hAnsi="Times New Roman" w:cs="Times New Roman"/>
          <w:sz w:val="24"/>
          <w:szCs w:val="24"/>
          <w:lang w:val="en-US"/>
        </w:rPr>
        <w:t>James</w:t>
      </w:r>
      <w:r w:rsidRPr="00EE1197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EE1197">
        <w:rPr>
          <w:rFonts w:ascii="Times New Roman" w:hAnsi="Times New Roman" w:cs="Times New Roman"/>
          <w:sz w:val="24"/>
          <w:szCs w:val="24"/>
          <w:lang w:val="en-US"/>
        </w:rPr>
        <w:t>Sheiman</w:t>
      </w:r>
      <w:proofErr w:type="spellEnd"/>
      <w:r w:rsidRPr="00EE1197">
        <w:rPr>
          <w:rFonts w:ascii="Times New Roman" w:hAnsi="Times New Roman" w:cs="Times New Roman"/>
          <w:sz w:val="24"/>
          <w:szCs w:val="24"/>
        </w:rPr>
        <w:t xml:space="preserve">, </w:t>
      </w:r>
      <w:r w:rsidRPr="00EE1197">
        <w:rPr>
          <w:rFonts w:ascii="Times New Roman" w:hAnsi="Times New Roman" w:cs="Times New Roman"/>
          <w:i/>
          <w:sz w:val="24"/>
          <w:szCs w:val="24"/>
        </w:rPr>
        <w:t>Патофизиология почки</w:t>
      </w:r>
      <w:r w:rsidRPr="00EE11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1197">
        <w:rPr>
          <w:rFonts w:ascii="Times New Roman" w:hAnsi="Times New Roman" w:cs="Times New Roman"/>
          <w:sz w:val="24"/>
          <w:szCs w:val="24"/>
        </w:rPr>
        <w:t xml:space="preserve"> М.: «Издательство БИНОМ»; 2019: 192</w:t>
      </w:r>
      <w:r w:rsidRPr="00293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770" w:rsidRPr="00293770" w:rsidRDefault="00293770" w:rsidP="00EE30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93770" w:rsidRPr="0029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71"/>
    <w:rsid w:val="000B4104"/>
    <w:rsid w:val="000B555E"/>
    <w:rsid w:val="00104E69"/>
    <w:rsid w:val="00105125"/>
    <w:rsid w:val="00153FB8"/>
    <w:rsid w:val="001B1FFC"/>
    <w:rsid w:val="00293770"/>
    <w:rsid w:val="002B6ACB"/>
    <w:rsid w:val="002D40A8"/>
    <w:rsid w:val="002D7DF7"/>
    <w:rsid w:val="004F168B"/>
    <w:rsid w:val="005F0381"/>
    <w:rsid w:val="006D6473"/>
    <w:rsid w:val="00772A67"/>
    <w:rsid w:val="0079019F"/>
    <w:rsid w:val="009A0658"/>
    <w:rsid w:val="00AC4299"/>
    <w:rsid w:val="00B22A69"/>
    <w:rsid w:val="00B55867"/>
    <w:rsid w:val="00BC321F"/>
    <w:rsid w:val="00BC50AA"/>
    <w:rsid w:val="00D05ABA"/>
    <w:rsid w:val="00E14571"/>
    <w:rsid w:val="00EC7731"/>
    <w:rsid w:val="00EE1197"/>
    <w:rsid w:val="00EE30BD"/>
    <w:rsid w:val="00F07197"/>
    <w:rsid w:val="00F6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6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A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06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rcid-id-https">
    <w:name w:val="orcid-id-https"/>
    <w:basedOn w:val="a0"/>
    <w:rsid w:val="009A0658"/>
  </w:style>
  <w:style w:type="table" w:styleId="a5">
    <w:name w:val="Table Grid"/>
    <w:basedOn w:val="a1"/>
    <w:uiPriority w:val="59"/>
    <w:rsid w:val="004F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4F168B"/>
    <w:rPr>
      <w:i/>
      <w:iCs/>
    </w:rPr>
  </w:style>
  <w:style w:type="character" w:styleId="a7">
    <w:name w:val="Strong"/>
    <w:basedOn w:val="a0"/>
    <w:uiPriority w:val="22"/>
    <w:qFormat/>
    <w:rsid w:val="004F168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6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2A67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772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6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A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06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rcid-id-https">
    <w:name w:val="orcid-id-https"/>
    <w:basedOn w:val="a0"/>
    <w:rsid w:val="009A0658"/>
  </w:style>
  <w:style w:type="table" w:styleId="a5">
    <w:name w:val="Table Grid"/>
    <w:basedOn w:val="a1"/>
    <w:uiPriority w:val="59"/>
    <w:rsid w:val="004F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4F168B"/>
    <w:rPr>
      <w:i/>
      <w:iCs/>
    </w:rPr>
  </w:style>
  <w:style w:type="character" w:styleId="a7">
    <w:name w:val="Strong"/>
    <w:basedOn w:val="a0"/>
    <w:uiPriority w:val="22"/>
    <w:qFormat/>
    <w:rsid w:val="004F168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6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2A67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772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oi.org/10.17816/clinpract1014-9" TargetMode="External"/><Relationship Id="rId1" Type="http://schemas.openxmlformats.org/officeDocument/2006/relationships/styles" Target="styles.xml"/><Relationship Id="rId6" Type="http://schemas.openxmlformats.org/officeDocument/2006/relationships/hyperlink" Target="mailto:92darv@gmail.com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o.gorbatenkon@gmail.com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2020-10-06T12:40:00Z</dcterms:created>
  <dcterms:modified xsi:type="dcterms:W3CDTF">2020-12-13T08:53:00Z</dcterms:modified>
</cp:coreProperties>
</file>