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8F" w:rsidRPr="008E6AEE" w:rsidRDefault="00962E8F" w:rsidP="00962E8F">
      <w:pPr>
        <w:shd w:val="clear" w:color="auto" w:fill="FFFFFF"/>
        <w:spacing w:before="100" w:beforeAutospacing="1" w:after="100" w:afterAutospacing="1" w:line="240" w:lineRule="auto"/>
        <w:rPr>
          <w:rFonts w:ascii="Arial" w:eastAsia="Times New Roman" w:hAnsi="Arial" w:cs="Arial"/>
          <w:sz w:val="23"/>
          <w:szCs w:val="23"/>
          <w:lang w:eastAsia="ru-RU"/>
        </w:rPr>
      </w:pPr>
      <w:r w:rsidRPr="008E6AEE">
        <w:rPr>
          <w:rFonts w:ascii="Times New Roman" w:eastAsia="Times New Roman" w:hAnsi="Times New Roman" w:cs="Times New Roman"/>
          <w:b/>
          <w:bCs/>
          <w:sz w:val="28"/>
          <w:szCs w:val="28"/>
          <w:shd w:val="clear" w:color="auto" w:fill="FFFFFF"/>
          <w:lang w:eastAsia="ru-RU"/>
        </w:rPr>
        <w:t xml:space="preserve">УДК </w:t>
      </w:r>
      <w:proofErr w:type="gramStart"/>
      <w:r w:rsidR="008E6AEE" w:rsidRPr="008E6AEE">
        <w:rPr>
          <w:rFonts w:ascii="Times New Roman" w:eastAsia="Times New Roman" w:hAnsi="Times New Roman" w:cs="Times New Roman"/>
          <w:b/>
          <w:bCs/>
          <w:sz w:val="28"/>
          <w:szCs w:val="28"/>
          <w:shd w:val="clear" w:color="auto" w:fill="FFFFFF"/>
          <w:lang w:eastAsia="ru-RU"/>
        </w:rPr>
        <w:t>336.74:336.748</w:t>
      </w:r>
      <w:proofErr w:type="gramEnd"/>
    </w:p>
    <w:p w:rsidR="00962E8F" w:rsidRPr="00962E8F" w:rsidRDefault="00962E8F" w:rsidP="00962E8F">
      <w:pPr>
        <w:widowControl w:val="0"/>
        <w:tabs>
          <w:tab w:val="left" w:pos="705"/>
          <w:tab w:val="left" w:pos="6660"/>
        </w:tabs>
        <w:suppressAutoHyphens/>
        <w:autoSpaceDN w:val="0"/>
        <w:spacing w:after="0" w:line="100" w:lineRule="atLeast"/>
        <w:jc w:val="right"/>
        <w:textAlignment w:val="baseline"/>
        <w:rPr>
          <w:rFonts w:ascii="Times New Roman" w:eastAsia="SimSun" w:hAnsi="Times New Roman" w:cs="Lucida Sans"/>
          <w:b/>
          <w:i/>
          <w:kern w:val="3"/>
          <w:sz w:val="28"/>
          <w:szCs w:val="28"/>
          <w:lang w:eastAsia="zh-CN" w:bidi="hi-IN"/>
        </w:rPr>
      </w:pPr>
      <w:r w:rsidRPr="00962E8F">
        <w:rPr>
          <w:rFonts w:ascii="Times New Roman" w:eastAsia="Times New Roman" w:hAnsi="Times New Roman" w:cs="Times New Roman"/>
          <w:b/>
          <w:iCs/>
          <w:color w:val="00B050"/>
          <w:kern w:val="3"/>
          <w:sz w:val="28"/>
          <w:szCs w:val="28"/>
          <w:lang w:eastAsia="zh-CN" w:bidi="hi-IN"/>
        </w:rPr>
        <w:tab/>
      </w:r>
      <w:r w:rsidRPr="00962E8F">
        <w:rPr>
          <w:rFonts w:ascii="Times New Roman" w:eastAsia="SimSun" w:hAnsi="Times New Roman" w:cs="Lucida Sans"/>
          <w:b/>
          <w:i/>
          <w:kern w:val="3"/>
          <w:sz w:val="28"/>
          <w:szCs w:val="28"/>
          <w:lang w:eastAsia="zh-CN" w:bidi="hi-IN"/>
        </w:rPr>
        <w:t>Багалий Инна Константиновна</w:t>
      </w:r>
    </w:p>
    <w:p w:rsidR="00962E8F" w:rsidRPr="00962E8F" w:rsidRDefault="00962E8F" w:rsidP="00962E8F">
      <w:pPr>
        <w:widowControl w:val="0"/>
        <w:suppressAutoHyphens/>
        <w:autoSpaceDN w:val="0"/>
        <w:spacing w:after="0" w:line="100" w:lineRule="atLeast"/>
        <w:jc w:val="right"/>
        <w:textAlignment w:val="baseline"/>
        <w:rPr>
          <w:rFonts w:ascii="Times New Roman" w:eastAsia="SimSun" w:hAnsi="Times New Roman" w:cs="Lucida Sans"/>
          <w:bCs/>
          <w:i/>
          <w:kern w:val="3"/>
          <w:sz w:val="28"/>
          <w:szCs w:val="28"/>
          <w:lang w:eastAsia="zh-CN" w:bidi="hi-IN"/>
        </w:rPr>
      </w:pPr>
      <w:r w:rsidRPr="00962E8F">
        <w:rPr>
          <w:rFonts w:ascii="Times New Roman" w:eastAsia="SimSun" w:hAnsi="Times New Roman" w:cs="Lucida Sans"/>
          <w:bCs/>
          <w:i/>
          <w:kern w:val="3"/>
          <w:sz w:val="28"/>
          <w:szCs w:val="28"/>
          <w:lang w:eastAsia="zh-CN" w:bidi="hi-IN"/>
        </w:rPr>
        <w:t xml:space="preserve">студентка филиала  </w:t>
      </w:r>
    </w:p>
    <w:p w:rsidR="00962E8F" w:rsidRPr="00962E8F" w:rsidRDefault="00962E8F" w:rsidP="00962E8F">
      <w:pPr>
        <w:widowControl w:val="0"/>
        <w:suppressAutoHyphens/>
        <w:autoSpaceDN w:val="0"/>
        <w:spacing w:after="0" w:line="100" w:lineRule="atLeast"/>
        <w:jc w:val="right"/>
        <w:textAlignment w:val="baseline"/>
        <w:rPr>
          <w:rFonts w:ascii="Times New Roman" w:eastAsia="Times New Roman" w:hAnsi="Times New Roman" w:cs="Times New Roman"/>
          <w:bCs/>
          <w:i/>
          <w:iCs/>
          <w:kern w:val="3"/>
          <w:sz w:val="28"/>
          <w:szCs w:val="28"/>
          <w:lang w:eastAsia="zh-CN" w:bidi="hi-IN"/>
        </w:rPr>
      </w:pPr>
      <w:r w:rsidRPr="00962E8F">
        <w:rPr>
          <w:rFonts w:ascii="Times New Roman" w:eastAsia="Times New Roman" w:hAnsi="Times New Roman" w:cs="Times New Roman"/>
          <w:bCs/>
          <w:i/>
          <w:kern w:val="3"/>
          <w:sz w:val="28"/>
          <w:szCs w:val="28"/>
          <w:lang w:eastAsia="zh-CN" w:bidi="hi-IN"/>
        </w:rPr>
        <w:t>ФГБОУ ВО «</w:t>
      </w:r>
      <w:proofErr w:type="spellStart"/>
      <w:r w:rsidRPr="00962E8F">
        <w:rPr>
          <w:rFonts w:ascii="Times New Roman" w:eastAsia="Times New Roman" w:hAnsi="Times New Roman" w:cs="Times New Roman"/>
          <w:bCs/>
          <w:i/>
          <w:kern w:val="3"/>
          <w:sz w:val="28"/>
          <w:szCs w:val="28"/>
          <w:lang w:eastAsia="zh-CN" w:bidi="hi-IN"/>
        </w:rPr>
        <w:t>КубГУ</w:t>
      </w:r>
      <w:proofErr w:type="spellEnd"/>
      <w:r w:rsidRPr="00962E8F">
        <w:rPr>
          <w:rFonts w:ascii="Times New Roman" w:eastAsia="Times New Roman" w:hAnsi="Times New Roman" w:cs="Times New Roman"/>
          <w:bCs/>
          <w:i/>
          <w:kern w:val="3"/>
          <w:sz w:val="28"/>
          <w:szCs w:val="28"/>
          <w:lang w:eastAsia="zh-CN" w:bidi="hi-IN"/>
        </w:rPr>
        <w:t xml:space="preserve">» </w:t>
      </w:r>
      <w:r w:rsidRPr="00962E8F">
        <w:rPr>
          <w:rFonts w:ascii="Times New Roman" w:eastAsia="Times New Roman" w:hAnsi="Times New Roman" w:cs="Times New Roman"/>
          <w:bCs/>
          <w:i/>
          <w:iCs/>
          <w:kern w:val="3"/>
          <w:sz w:val="28"/>
          <w:szCs w:val="28"/>
          <w:lang w:eastAsia="zh-CN" w:bidi="hi-IN"/>
        </w:rPr>
        <w:t>в г. Славянске-на-Кубани</w:t>
      </w:r>
    </w:p>
    <w:p w:rsidR="00962E8F" w:rsidRPr="00962E8F" w:rsidRDefault="00962E8F" w:rsidP="00962E8F">
      <w:pPr>
        <w:widowControl w:val="0"/>
        <w:suppressAutoHyphens/>
        <w:autoSpaceDN w:val="0"/>
        <w:spacing w:after="0" w:line="100" w:lineRule="atLeast"/>
        <w:jc w:val="right"/>
        <w:textAlignment w:val="baseline"/>
        <w:rPr>
          <w:rFonts w:ascii="Times New Roman" w:eastAsia="Times New Roman" w:hAnsi="Times New Roman" w:cs="Times New Roman"/>
          <w:b/>
          <w:i/>
          <w:kern w:val="3"/>
          <w:sz w:val="28"/>
          <w:szCs w:val="28"/>
          <w:lang w:eastAsia="zh-CN" w:bidi="hi-IN"/>
        </w:rPr>
      </w:pPr>
      <w:proofErr w:type="spellStart"/>
      <w:r w:rsidRPr="00962E8F">
        <w:rPr>
          <w:rFonts w:ascii="Times New Roman" w:eastAsia="Times New Roman" w:hAnsi="Times New Roman" w:cs="Times New Roman"/>
          <w:b/>
          <w:i/>
          <w:kern w:val="3"/>
          <w:sz w:val="28"/>
          <w:szCs w:val="28"/>
          <w:lang w:eastAsia="zh-CN" w:bidi="hi-IN"/>
        </w:rPr>
        <w:t>Махова</w:t>
      </w:r>
      <w:proofErr w:type="spellEnd"/>
      <w:r w:rsidRPr="00962E8F">
        <w:rPr>
          <w:rFonts w:ascii="Times New Roman" w:eastAsia="Times New Roman" w:hAnsi="Times New Roman" w:cs="Times New Roman"/>
          <w:b/>
          <w:i/>
          <w:kern w:val="3"/>
          <w:sz w:val="28"/>
          <w:szCs w:val="28"/>
          <w:lang w:eastAsia="zh-CN" w:bidi="hi-IN"/>
        </w:rPr>
        <w:t xml:space="preserve"> Анна Владимировна </w:t>
      </w:r>
      <w:r w:rsidRPr="00962E8F">
        <w:rPr>
          <w:rFonts w:ascii="Times New Roman" w:eastAsia="Times New Roman" w:hAnsi="Times New Roman" w:cs="Times New Roman"/>
          <w:bCs/>
          <w:i/>
          <w:kern w:val="3"/>
          <w:sz w:val="28"/>
          <w:szCs w:val="28"/>
          <w:lang w:eastAsia="zh-CN" w:bidi="hi-IN"/>
        </w:rPr>
        <w:t>– научный руководитель</w:t>
      </w:r>
    </w:p>
    <w:p w:rsidR="00962E8F" w:rsidRPr="00962E8F" w:rsidRDefault="00962E8F" w:rsidP="00962E8F">
      <w:pPr>
        <w:widowControl w:val="0"/>
        <w:suppressAutoHyphens/>
        <w:autoSpaceDN w:val="0"/>
        <w:spacing w:after="0" w:line="100" w:lineRule="atLeast"/>
        <w:jc w:val="right"/>
        <w:textAlignment w:val="baseline"/>
        <w:rPr>
          <w:rFonts w:ascii="Times New Roman" w:eastAsia="Times New Roman" w:hAnsi="Times New Roman" w:cs="Times New Roman"/>
          <w:bCs/>
          <w:i/>
          <w:kern w:val="3"/>
          <w:sz w:val="28"/>
          <w:szCs w:val="28"/>
          <w:lang w:eastAsia="zh-CN" w:bidi="hi-IN"/>
        </w:rPr>
      </w:pPr>
      <w:r w:rsidRPr="00962E8F">
        <w:rPr>
          <w:rFonts w:ascii="Times New Roman" w:eastAsia="Times New Roman" w:hAnsi="Times New Roman" w:cs="Times New Roman"/>
          <w:b/>
          <w:i/>
          <w:kern w:val="3"/>
          <w:sz w:val="28"/>
          <w:szCs w:val="28"/>
          <w:lang w:eastAsia="zh-CN" w:bidi="hi-IN"/>
        </w:rPr>
        <w:t xml:space="preserve"> </w:t>
      </w:r>
      <w:r w:rsidRPr="00962E8F">
        <w:rPr>
          <w:rFonts w:ascii="Times New Roman" w:eastAsia="Times New Roman" w:hAnsi="Times New Roman" w:cs="Times New Roman"/>
          <w:bCs/>
          <w:i/>
          <w:kern w:val="3"/>
          <w:sz w:val="28"/>
          <w:szCs w:val="28"/>
          <w:lang w:eastAsia="zh-CN" w:bidi="hi-IN"/>
        </w:rPr>
        <w:t xml:space="preserve">канд. </w:t>
      </w:r>
      <w:proofErr w:type="spellStart"/>
      <w:r w:rsidRPr="00962E8F">
        <w:rPr>
          <w:rFonts w:ascii="Times New Roman" w:eastAsia="Times New Roman" w:hAnsi="Times New Roman" w:cs="Times New Roman"/>
          <w:bCs/>
          <w:i/>
          <w:kern w:val="3"/>
          <w:sz w:val="28"/>
          <w:szCs w:val="28"/>
          <w:lang w:eastAsia="zh-CN" w:bidi="hi-IN"/>
        </w:rPr>
        <w:t>экон</w:t>
      </w:r>
      <w:proofErr w:type="spellEnd"/>
      <w:r w:rsidRPr="00962E8F">
        <w:rPr>
          <w:rFonts w:ascii="Times New Roman" w:eastAsia="Times New Roman" w:hAnsi="Times New Roman" w:cs="Times New Roman"/>
          <w:bCs/>
          <w:i/>
          <w:kern w:val="3"/>
          <w:sz w:val="28"/>
          <w:szCs w:val="28"/>
          <w:lang w:eastAsia="zh-CN" w:bidi="hi-IN"/>
        </w:rPr>
        <w:t>. наук, доцент</w:t>
      </w:r>
    </w:p>
    <w:p w:rsidR="00962E8F" w:rsidRPr="00962E8F" w:rsidRDefault="00962E8F" w:rsidP="00962E8F">
      <w:pPr>
        <w:widowControl w:val="0"/>
        <w:suppressAutoHyphens/>
        <w:autoSpaceDN w:val="0"/>
        <w:spacing w:after="0" w:line="100" w:lineRule="atLeast"/>
        <w:jc w:val="right"/>
        <w:textAlignment w:val="baseline"/>
        <w:rPr>
          <w:rFonts w:ascii="Times New Roman" w:eastAsia="Times New Roman" w:hAnsi="Times New Roman" w:cs="Times New Roman"/>
          <w:bCs/>
          <w:i/>
          <w:kern w:val="3"/>
          <w:sz w:val="28"/>
          <w:szCs w:val="28"/>
          <w:lang w:eastAsia="zh-CN" w:bidi="hi-IN"/>
        </w:rPr>
      </w:pPr>
      <w:r w:rsidRPr="00962E8F">
        <w:rPr>
          <w:rFonts w:ascii="Times New Roman" w:eastAsia="Times New Roman" w:hAnsi="Times New Roman" w:cs="Times New Roman"/>
          <w:bCs/>
          <w:i/>
          <w:kern w:val="3"/>
          <w:sz w:val="28"/>
          <w:szCs w:val="28"/>
          <w:lang w:eastAsia="zh-CN" w:bidi="hi-IN"/>
        </w:rPr>
        <w:t>кафедры истории, обществознания и педагогических технологий</w:t>
      </w:r>
    </w:p>
    <w:p w:rsidR="00962E8F" w:rsidRPr="00962E8F" w:rsidRDefault="00962E8F" w:rsidP="00962E8F">
      <w:pPr>
        <w:widowControl w:val="0"/>
        <w:suppressAutoHyphens/>
        <w:autoSpaceDN w:val="0"/>
        <w:spacing w:after="0" w:line="100" w:lineRule="atLeast"/>
        <w:jc w:val="right"/>
        <w:textAlignment w:val="baseline"/>
        <w:rPr>
          <w:rFonts w:ascii="Times New Roman" w:eastAsia="Times New Roman" w:hAnsi="Times New Roman" w:cs="Times New Roman"/>
          <w:b/>
          <w:i/>
          <w:kern w:val="3"/>
          <w:sz w:val="28"/>
          <w:szCs w:val="28"/>
          <w:lang w:eastAsia="zh-CN" w:bidi="hi-IN"/>
        </w:rPr>
      </w:pPr>
      <w:r w:rsidRPr="00962E8F">
        <w:rPr>
          <w:rFonts w:ascii="Times New Roman" w:eastAsia="Times New Roman" w:hAnsi="Times New Roman" w:cs="Times New Roman"/>
          <w:bCs/>
          <w:i/>
          <w:kern w:val="3"/>
          <w:sz w:val="28"/>
          <w:szCs w:val="28"/>
          <w:lang w:eastAsia="zh-CN" w:bidi="hi-IN"/>
        </w:rPr>
        <w:t>ФГБОУ ВО «</w:t>
      </w:r>
      <w:proofErr w:type="spellStart"/>
      <w:r w:rsidRPr="00962E8F">
        <w:rPr>
          <w:rFonts w:ascii="Times New Roman" w:eastAsia="Times New Roman" w:hAnsi="Times New Roman" w:cs="Times New Roman"/>
          <w:bCs/>
          <w:i/>
          <w:kern w:val="3"/>
          <w:sz w:val="28"/>
          <w:szCs w:val="28"/>
          <w:lang w:eastAsia="zh-CN" w:bidi="hi-IN"/>
        </w:rPr>
        <w:t>КубГУ</w:t>
      </w:r>
      <w:proofErr w:type="spellEnd"/>
      <w:r w:rsidRPr="00962E8F">
        <w:rPr>
          <w:rFonts w:ascii="Times New Roman" w:eastAsia="Times New Roman" w:hAnsi="Times New Roman" w:cs="Times New Roman"/>
          <w:bCs/>
          <w:i/>
          <w:kern w:val="3"/>
          <w:sz w:val="28"/>
          <w:szCs w:val="28"/>
          <w:lang w:eastAsia="zh-CN" w:bidi="hi-IN"/>
        </w:rPr>
        <w:t>» филиал в</w:t>
      </w:r>
      <w:r w:rsidR="008E6AEE">
        <w:rPr>
          <w:rFonts w:ascii="Times New Roman" w:eastAsia="Times New Roman" w:hAnsi="Times New Roman" w:cs="Times New Roman"/>
          <w:bCs/>
          <w:i/>
          <w:kern w:val="3"/>
          <w:sz w:val="28"/>
          <w:szCs w:val="28"/>
          <w:lang w:eastAsia="zh-CN" w:bidi="hi-IN"/>
        </w:rPr>
        <w:t xml:space="preserve"> г. Славянске-на-</w:t>
      </w:r>
      <w:r w:rsidRPr="00962E8F">
        <w:rPr>
          <w:rFonts w:ascii="Times New Roman" w:eastAsia="Times New Roman" w:hAnsi="Times New Roman" w:cs="Times New Roman"/>
          <w:bCs/>
          <w:i/>
          <w:kern w:val="3"/>
          <w:sz w:val="28"/>
          <w:szCs w:val="28"/>
          <w:lang w:eastAsia="zh-CN" w:bidi="hi-IN"/>
        </w:rPr>
        <w:t>Кубани</w:t>
      </w:r>
    </w:p>
    <w:p w:rsidR="00962E8F" w:rsidRPr="00962E8F" w:rsidRDefault="00962E8F" w:rsidP="00962E8F">
      <w:pPr>
        <w:widowControl w:val="0"/>
        <w:suppressAutoHyphens/>
        <w:autoSpaceDN w:val="0"/>
        <w:spacing w:after="0" w:line="100" w:lineRule="atLeast"/>
        <w:jc w:val="right"/>
        <w:textAlignment w:val="baseline"/>
        <w:rPr>
          <w:rFonts w:ascii="Times New Roman" w:eastAsia="Times New Roman" w:hAnsi="Times New Roman" w:cs="Times New Roman"/>
          <w:bCs/>
          <w:i/>
          <w:iCs/>
          <w:kern w:val="3"/>
          <w:sz w:val="28"/>
          <w:szCs w:val="28"/>
          <w:lang w:eastAsia="zh-CN" w:bidi="hi-IN"/>
        </w:rPr>
      </w:pPr>
    </w:p>
    <w:p w:rsidR="00962E8F" w:rsidRPr="00962E8F" w:rsidRDefault="00962E8F" w:rsidP="00962E8F">
      <w:pPr>
        <w:widowControl w:val="0"/>
        <w:suppressAutoHyphens/>
        <w:autoSpaceDN w:val="0"/>
        <w:spacing w:after="0" w:line="100" w:lineRule="atLeast"/>
        <w:jc w:val="right"/>
        <w:textAlignment w:val="baseline"/>
        <w:rPr>
          <w:rFonts w:ascii="Helvetica" w:eastAsia="SimSun" w:hAnsi="Helvetica" w:cs="Lucida Sans"/>
          <w:b/>
          <w:bCs/>
          <w:i/>
          <w:iCs/>
          <w:kern w:val="3"/>
          <w:sz w:val="28"/>
          <w:szCs w:val="28"/>
          <w:lang w:eastAsia="zh-CN" w:bidi="hi-IN"/>
        </w:rPr>
      </w:pPr>
    </w:p>
    <w:p w:rsidR="00962E8F" w:rsidRPr="00962E8F" w:rsidRDefault="00962E8F" w:rsidP="00962E8F">
      <w:pPr>
        <w:shd w:val="clear" w:color="auto" w:fill="FFFFFF"/>
        <w:spacing w:after="0" w:line="240" w:lineRule="auto"/>
        <w:jc w:val="center"/>
        <w:rPr>
          <w:rFonts w:ascii="Arial" w:eastAsia="Times New Roman" w:hAnsi="Arial" w:cs="Arial"/>
          <w:color w:val="000000"/>
          <w:sz w:val="23"/>
          <w:szCs w:val="23"/>
          <w:lang w:eastAsia="ru-RU"/>
        </w:rPr>
      </w:pPr>
      <w:r w:rsidRPr="00962E8F">
        <w:rPr>
          <w:rFonts w:ascii="Times New Roman" w:eastAsia="Times New Roman" w:hAnsi="Times New Roman" w:cs="Times New Roman"/>
          <w:b/>
          <w:bCs/>
          <w:color w:val="000000"/>
          <w:sz w:val="28"/>
          <w:szCs w:val="28"/>
          <w:lang w:eastAsia="ru-RU"/>
        </w:rPr>
        <w:t>АНАЛ</w:t>
      </w:r>
      <w:r w:rsidR="00171986">
        <w:rPr>
          <w:rFonts w:ascii="Times New Roman" w:eastAsia="Times New Roman" w:hAnsi="Times New Roman" w:cs="Times New Roman"/>
          <w:b/>
          <w:bCs/>
          <w:color w:val="000000"/>
          <w:sz w:val="28"/>
          <w:szCs w:val="28"/>
          <w:lang w:eastAsia="ru-RU"/>
        </w:rPr>
        <w:t>ИЗ ДИНАМИКИ ВКЛАДОВ (ДЕПОЗИТОВ) ФИЗИЧЕСКИХ ЛИЦ В РУБЛЯХ И ИНОСТРАННОЙ ВАЛЮТЕ В РОССИИ В 2013</w:t>
      </w:r>
      <w:r w:rsidRPr="00962E8F">
        <w:rPr>
          <w:rFonts w:ascii="Times New Roman" w:eastAsia="Times New Roman" w:hAnsi="Times New Roman" w:cs="Times New Roman"/>
          <w:b/>
          <w:bCs/>
          <w:color w:val="000000"/>
          <w:sz w:val="28"/>
          <w:szCs w:val="28"/>
          <w:lang w:eastAsia="ru-RU"/>
        </w:rPr>
        <w:t>-2020 ГГ.</w:t>
      </w:r>
    </w:p>
    <w:p w:rsidR="00962E8F" w:rsidRPr="00962E8F" w:rsidRDefault="00962E8F" w:rsidP="00962E8F">
      <w:pPr>
        <w:suppressAutoHyphens/>
        <w:autoSpaceDN w:val="0"/>
        <w:spacing w:after="0" w:line="360" w:lineRule="auto"/>
        <w:ind w:firstLine="720"/>
        <w:jc w:val="both"/>
        <w:textAlignment w:val="baseline"/>
        <w:rPr>
          <w:rFonts w:ascii="Times New Roman" w:eastAsia="Andale Sans UI" w:hAnsi="Times New Roman" w:cs="Times New Roman"/>
          <w:b/>
          <w:bCs/>
          <w:kern w:val="3"/>
          <w:sz w:val="28"/>
          <w:szCs w:val="28"/>
          <w:lang w:eastAsia="fa-IR" w:bidi="fa-IR"/>
        </w:rPr>
      </w:pPr>
    </w:p>
    <w:p w:rsidR="00171986" w:rsidRPr="00171986" w:rsidRDefault="00962E8F" w:rsidP="00171986">
      <w:pPr>
        <w:suppressAutoHyphens/>
        <w:autoSpaceDN w:val="0"/>
        <w:spacing w:after="0" w:line="360" w:lineRule="auto"/>
        <w:ind w:firstLine="720"/>
        <w:jc w:val="both"/>
        <w:textAlignment w:val="baseline"/>
        <w:rPr>
          <w:rFonts w:ascii="Times New Roman" w:eastAsia="Andale Sans UI" w:hAnsi="Times New Roman" w:cs="Times New Roman"/>
          <w:bCs/>
          <w:kern w:val="3"/>
          <w:sz w:val="28"/>
          <w:szCs w:val="28"/>
          <w:lang w:eastAsia="fa-IR" w:bidi="fa-IR"/>
        </w:rPr>
      </w:pPr>
      <w:r w:rsidRPr="00962E8F">
        <w:rPr>
          <w:rFonts w:ascii="Times New Roman" w:eastAsia="Andale Sans UI" w:hAnsi="Times New Roman" w:cs="Times New Roman"/>
          <w:b/>
          <w:bCs/>
          <w:kern w:val="3"/>
          <w:sz w:val="28"/>
          <w:szCs w:val="28"/>
          <w:lang w:eastAsia="fa-IR" w:bidi="fa-IR"/>
        </w:rPr>
        <w:t xml:space="preserve">Аннотация: </w:t>
      </w:r>
      <w:bookmarkStart w:id="0" w:name="_GoBack"/>
      <w:r w:rsidRPr="00962E8F">
        <w:rPr>
          <w:rFonts w:ascii="Times New Roman" w:eastAsia="Andale Sans UI" w:hAnsi="Times New Roman" w:cs="Times New Roman"/>
          <w:kern w:val="3"/>
          <w:sz w:val="28"/>
          <w:szCs w:val="28"/>
          <w:lang w:eastAsia="fa-IR" w:bidi="fa-IR"/>
        </w:rPr>
        <w:t xml:space="preserve">Материалы данной статьи включают в себя </w:t>
      </w:r>
      <w:r w:rsidR="00171986">
        <w:rPr>
          <w:rFonts w:ascii="Times New Roman" w:eastAsia="Andale Sans UI" w:hAnsi="Times New Roman" w:cs="Times New Roman"/>
          <w:kern w:val="3"/>
          <w:sz w:val="28"/>
          <w:szCs w:val="28"/>
          <w:lang w:eastAsia="fa-IR" w:bidi="fa-IR"/>
        </w:rPr>
        <w:t>анализ динамики вкладов (депозитов) физических лиц в рублях и иностранной валюте в России в 2013-</w:t>
      </w:r>
      <w:r w:rsidR="00F22984">
        <w:rPr>
          <w:rFonts w:ascii="Times New Roman" w:eastAsia="Andale Sans UI" w:hAnsi="Times New Roman" w:cs="Times New Roman"/>
          <w:kern w:val="3"/>
          <w:sz w:val="28"/>
          <w:szCs w:val="28"/>
          <w:lang w:eastAsia="fa-IR" w:bidi="fa-IR"/>
        </w:rPr>
        <w:t>2020 гг., в том числе:</w:t>
      </w:r>
      <w:r w:rsidR="00171986">
        <w:rPr>
          <w:rFonts w:ascii="Times New Roman" w:eastAsia="Andale Sans UI" w:hAnsi="Times New Roman" w:cs="Times New Roman"/>
          <w:kern w:val="3"/>
          <w:sz w:val="28"/>
          <w:szCs w:val="28"/>
          <w:lang w:eastAsia="fa-IR" w:bidi="fa-IR"/>
        </w:rPr>
        <w:t xml:space="preserve"> </w:t>
      </w:r>
      <w:r w:rsidR="00F22984">
        <w:rPr>
          <w:rFonts w:ascii="Times New Roman" w:eastAsia="Andale Sans UI" w:hAnsi="Times New Roman" w:cs="Times New Roman"/>
          <w:kern w:val="3"/>
          <w:sz w:val="28"/>
          <w:szCs w:val="28"/>
          <w:lang w:eastAsia="fa-IR" w:bidi="fa-IR"/>
        </w:rPr>
        <w:t xml:space="preserve">структуру </w:t>
      </w:r>
      <w:r w:rsidR="00171986" w:rsidRPr="00171986">
        <w:rPr>
          <w:rFonts w:ascii="Times New Roman" w:eastAsia="Andale Sans UI" w:hAnsi="Times New Roman" w:cs="Times New Roman"/>
          <w:kern w:val="3"/>
          <w:sz w:val="28"/>
          <w:szCs w:val="28"/>
          <w:lang w:eastAsia="fa-IR" w:bidi="fa-IR"/>
        </w:rPr>
        <w:t>средневзвешенных ставок по кредитам, предоставленным нефинансовым организациям, и ключевой ставки Банка России</w:t>
      </w:r>
      <w:r w:rsidR="00171986">
        <w:rPr>
          <w:rFonts w:ascii="Times New Roman" w:eastAsia="Andale Sans UI" w:hAnsi="Times New Roman" w:cs="Times New Roman"/>
          <w:kern w:val="3"/>
          <w:sz w:val="28"/>
          <w:szCs w:val="28"/>
          <w:lang w:eastAsia="fa-IR" w:bidi="fa-IR"/>
        </w:rPr>
        <w:t>, структуру</w:t>
      </w:r>
      <w:r w:rsidR="00171986" w:rsidRPr="00171986">
        <w:rPr>
          <w:rFonts w:ascii="Times New Roman" w:eastAsia="Andale Sans UI" w:hAnsi="Times New Roman" w:cs="Times New Roman"/>
          <w:kern w:val="3"/>
          <w:sz w:val="28"/>
          <w:szCs w:val="28"/>
          <w:lang w:eastAsia="fa-IR" w:bidi="fa-IR"/>
        </w:rPr>
        <w:t xml:space="preserve"> вкладов (депозитов) и прочих привлеченных кредитными организациями средств</w:t>
      </w:r>
      <w:r w:rsidR="00171986">
        <w:rPr>
          <w:rFonts w:ascii="Times New Roman" w:eastAsia="Andale Sans UI" w:hAnsi="Times New Roman" w:cs="Times New Roman"/>
          <w:kern w:val="3"/>
          <w:sz w:val="28"/>
          <w:szCs w:val="28"/>
          <w:lang w:eastAsia="fa-IR" w:bidi="fa-IR"/>
        </w:rPr>
        <w:t xml:space="preserve">, </w:t>
      </w:r>
      <w:r w:rsidR="00F22984">
        <w:rPr>
          <w:rFonts w:ascii="Times New Roman" w:eastAsia="Andale Sans UI" w:hAnsi="Times New Roman" w:cs="Times New Roman"/>
          <w:bCs/>
          <w:kern w:val="3"/>
          <w:sz w:val="28"/>
          <w:szCs w:val="28"/>
          <w:lang w:eastAsia="fa-IR" w:bidi="fa-IR"/>
        </w:rPr>
        <w:t>структуру</w:t>
      </w:r>
      <w:r w:rsidR="00171986" w:rsidRPr="00171986">
        <w:rPr>
          <w:rFonts w:ascii="Times New Roman" w:eastAsia="Andale Sans UI" w:hAnsi="Times New Roman" w:cs="Times New Roman"/>
          <w:bCs/>
          <w:kern w:val="3"/>
          <w:sz w:val="28"/>
          <w:szCs w:val="28"/>
          <w:lang w:eastAsia="fa-IR" w:bidi="fa-IR"/>
        </w:rPr>
        <w:t xml:space="preserve"> вкладов (депозитов) физических лиц в рублях </w:t>
      </w:r>
      <w:r w:rsidR="00F22984">
        <w:rPr>
          <w:rFonts w:ascii="Times New Roman" w:eastAsia="Andale Sans UI" w:hAnsi="Times New Roman" w:cs="Times New Roman"/>
          <w:bCs/>
          <w:kern w:val="3"/>
          <w:sz w:val="28"/>
          <w:szCs w:val="28"/>
          <w:lang w:eastAsia="fa-IR" w:bidi="fa-IR"/>
        </w:rPr>
        <w:t>и в иностранной валюте.</w:t>
      </w:r>
    </w:p>
    <w:bookmarkEnd w:id="0"/>
    <w:p w:rsidR="00962E8F" w:rsidRPr="00962E8F" w:rsidRDefault="00962E8F" w:rsidP="00962E8F">
      <w:pPr>
        <w:suppressAutoHyphens/>
        <w:autoSpaceDN w:val="0"/>
        <w:spacing w:after="0" w:line="360" w:lineRule="auto"/>
        <w:ind w:firstLine="720"/>
        <w:jc w:val="both"/>
        <w:textAlignment w:val="baseline"/>
        <w:rPr>
          <w:rFonts w:ascii="Times New Roman" w:eastAsia="Andale Sans UI" w:hAnsi="Times New Roman" w:cs="Times New Roman"/>
          <w:kern w:val="3"/>
          <w:sz w:val="28"/>
          <w:szCs w:val="28"/>
          <w:lang w:eastAsia="fa-IR" w:bidi="fa-IR"/>
        </w:rPr>
      </w:pPr>
    </w:p>
    <w:p w:rsidR="00962E8F" w:rsidRPr="00962E8F" w:rsidRDefault="00962E8F" w:rsidP="00962E8F">
      <w:pPr>
        <w:suppressAutoHyphens/>
        <w:autoSpaceDN w:val="0"/>
        <w:spacing w:after="0" w:line="360" w:lineRule="auto"/>
        <w:ind w:firstLine="720"/>
        <w:jc w:val="both"/>
        <w:textAlignment w:val="baseline"/>
        <w:rPr>
          <w:rFonts w:ascii="Times New Roman" w:eastAsia="Andale Sans UI" w:hAnsi="Times New Roman" w:cs="Times New Roman"/>
          <w:b/>
          <w:bCs/>
          <w:kern w:val="3"/>
          <w:sz w:val="28"/>
          <w:szCs w:val="28"/>
          <w:lang w:eastAsia="fa-IR" w:bidi="fa-IR"/>
        </w:rPr>
      </w:pPr>
      <w:r w:rsidRPr="00962E8F">
        <w:rPr>
          <w:rFonts w:ascii="Times New Roman" w:eastAsia="Andale Sans UI" w:hAnsi="Times New Roman" w:cs="Times New Roman"/>
          <w:b/>
          <w:bCs/>
          <w:kern w:val="3"/>
          <w:sz w:val="28"/>
          <w:szCs w:val="28"/>
          <w:lang w:eastAsia="fa-IR" w:bidi="fa-IR"/>
        </w:rPr>
        <w:t xml:space="preserve">Ключевые слова: </w:t>
      </w:r>
      <w:r w:rsidR="00F22984">
        <w:rPr>
          <w:rFonts w:ascii="Times New Roman" w:eastAsia="Andale Sans UI" w:hAnsi="Times New Roman" w:cs="Times New Roman"/>
          <w:bCs/>
          <w:kern w:val="3"/>
          <w:sz w:val="28"/>
          <w:szCs w:val="28"/>
          <w:lang w:eastAsia="fa-IR" w:bidi="fa-IR"/>
        </w:rPr>
        <w:t>вклады (депозиты), к</w:t>
      </w:r>
      <w:r w:rsidR="00F22984" w:rsidRPr="00F22984">
        <w:rPr>
          <w:rFonts w:ascii="Times New Roman" w:eastAsia="Andale Sans UI" w:hAnsi="Times New Roman" w:cs="Times New Roman"/>
          <w:bCs/>
          <w:kern w:val="3"/>
          <w:sz w:val="28"/>
          <w:szCs w:val="28"/>
          <w:lang w:eastAsia="fa-IR" w:bidi="fa-IR"/>
        </w:rPr>
        <w:t>лючевая ставка Банка России</w:t>
      </w:r>
      <w:r w:rsidR="008E6AEE">
        <w:rPr>
          <w:rFonts w:ascii="Times New Roman" w:eastAsia="Andale Sans UI" w:hAnsi="Times New Roman" w:cs="Times New Roman"/>
          <w:bCs/>
          <w:kern w:val="3"/>
          <w:sz w:val="28"/>
          <w:szCs w:val="28"/>
          <w:lang w:eastAsia="fa-IR" w:bidi="fa-IR"/>
        </w:rPr>
        <w:t>, валюта, кредит, с</w:t>
      </w:r>
      <w:r w:rsidR="008E6AEE" w:rsidRPr="008E6AEE">
        <w:rPr>
          <w:rFonts w:ascii="Times New Roman" w:eastAsia="Andale Sans UI" w:hAnsi="Times New Roman" w:cs="Times New Roman"/>
          <w:bCs/>
          <w:kern w:val="3"/>
          <w:sz w:val="28"/>
          <w:szCs w:val="28"/>
          <w:lang w:eastAsia="fa-IR" w:bidi="fa-IR"/>
        </w:rPr>
        <w:t>редневзвешенная ставка</w:t>
      </w:r>
      <w:r w:rsidR="008E6AEE">
        <w:rPr>
          <w:rFonts w:ascii="Times New Roman" w:eastAsia="Andale Sans UI" w:hAnsi="Times New Roman" w:cs="Times New Roman"/>
          <w:bCs/>
          <w:kern w:val="3"/>
          <w:sz w:val="28"/>
          <w:szCs w:val="28"/>
          <w:lang w:eastAsia="fa-IR" w:bidi="fa-IR"/>
        </w:rPr>
        <w:t>, срочные вклады (депозиты), вклады (депозиты) физических лиц, вклады (депозиты) до востребования.</w:t>
      </w:r>
    </w:p>
    <w:p w:rsidR="00962E8F" w:rsidRPr="00962E8F" w:rsidRDefault="00962E8F" w:rsidP="00962E8F">
      <w:pPr>
        <w:suppressAutoHyphens/>
        <w:autoSpaceDN w:val="0"/>
        <w:spacing w:after="0" w:line="360" w:lineRule="auto"/>
        <w:ind w:firstLine="720"/>
        <w:jc w:val="both"/>
        <w:textAlignment w:val="baseline"/>
        <w:rPr>
          <w:rFonts w:ascii="Times New Roman" w:eastAsia="Andale Sans UI" w:hAnsi="Times New Roman" w:cs="Times New Roman"/>
          <w:color w:val="FF0000"/>
          <w:kern w:val="3"/>
          <w:sz w:val="28"/>
          <w:szCs w:val="28"/>
          <w:lang w:eastAsia="fa-IR" w:bidi="fa-IR"/>
        </w:rPr>
      </w:pPr>
    </w:p>
    <w:p w:rsidR="00962E8F" w:rsidRPr="001616CB" w:rsidRDefault="00962E8F" w:rsidP="00962E8F">
      <w:pPr>
        <w:autoSpaceDN w:val="0"/>
        <w:spacing w:after="0" w:line="360" w:lineRule="auto"/>
        <w:ind w:firstLine="720"/>
        <w:jc w:val="both"/>
        <w:textAlignment w:val="baseline"/>
        <w:rPr>
          <w:rFonts w:ascii="Times New Roman" w:eastAsia="Times New Roman" w:hAnsi="Times New Roman" w:cs="Times New Roman"/>
          <w:bCs/>
          <w:kern w:val="3"/>
          <w:sz w:val="28"/>
          <w:szCs w:val="28"/>
          <w:lang w:val="en-US" w:eastAsia="zh-CN" w:bidi="hi-IN"/>
        </w:rPr>
      </w:pPr>
      <w:proofErr w:type="gramStart"/>
      <w:r w:rsidRPr="001616CB">
        <w:rPr>
          <w:rFonts w:ascii="Times New Roman" w:eastAsia="Times New Roman" w:hAnsi="Times New Roman" w:cs="Times New Roman"/>
          <w:b/>
          <w:bCs/>
          <w:kern w:val="3"/>
          <w:sz w:val="28"/>
          <w:szCs w:val="28"/>
          <w:lang w:val="en-US" w:eastAsia="zh-CN" w:bidi="hi-IN"/>
        </w:rPr>
        <w:t xml:space="preserve">Abstract: </w:t>
      </w:r>
      <w:r w:rsidR="001616CB" w:rsidRPr="001616CB">
        <w:rPr>
          <w:rFonts w:ascii="Times New Roman" w:eastAsia="Times New Roman" w:hAnsi="Times New Roman" w:cs="Times New Roman"/>
          <w:bCs/>
          <w:kern w:val="3"/>
          <w:sz w:val="28"/>
          <w:szCs w:val="28"/>
          <w:lang w:val="en-US" w:eastAsia="zh-CN" w:bidi="hi-IN"/>
        </w:rPr>
        <w:t>The materials of this article include an analysis of the dynamics of deposits (deposits) of individuals in rubles and foreign currency in Russia in 2013-2020, including: the structure of weighted average rates on loans granted to non-financial organizations and the key rate of the Bank of Russia, the structure of deposits (deposits) and other funds attracted by credit organizations, the structure of deposits (deposits) of individuals in rubles and foreign currency.</w:t>
      </w:r>
      <w:proofErr w:type="gramEnd"/>
    </w:p>
    <w:p w:rsidR="00962E8F" w:rsidRPr="00F22984" w:rsidRDefault="00962E8F" w:rsidP="00962E8F">
      <w:pPr>
        <w:autoSpaceDN w:val="0"/>
        <w:spacing w:after="0" w:line="360" w:lineRule="auto"/>
        <w:ind w:firstLine="720"/>
        <w:jc w:val="both"/>
        <w:textAlignment w:val="baseline"/>
        <w:rPr>
          <w:rFonts w:ascii="Times New Roman" w:eastAsia="SimSun" w:hAnsi="Times New Roman" w:cs="Lucida Sans"/>
          <w:color w:val="FF0000"/>
          <w:kern w:val="3"/>
          <w:sz w:val="24"/>
          <w:szCs w:val="24"/>
          <w:lang w:val="en-US" w:eastAsia="zh-CN" w:bidi="hi-IN"/>
        </w:rPr>
      </w:pPr>
    </w:p>
    <w:p w:rsidR="00962E8F" w:rsidRPr="006102CC" w:rsidRDefault="00962E8F" w:rsidP="00962E8F">
      <w:pPr>
        <w:widowControl w:val="0"/>
        <w:suppressAutoHyphens/>
        <w:autoSpaceDN w:val="0"/>
        <w:spacing w:after="0" w:line="360" w:lineRule="auto"/>
        <w:ind w:firstLine="720"/>
        <w:textAlignment w:val="baseline"/>
        <w:rPr>
          <w:rFonts w:ascii="Times New Roman" w:eastAsia="Times New Roman" w:hAnsi="Times New Roman" w:cs="Times New Roman"/>
          <w:bCs/>
          <w:kern w:val="3"/>
          <w:sz w:val="28"/>
          <w:szCs w:val="28"/>
          <w:lang w:val="en-US" w:eastAsia="zh-CN" w:bidi="hi-IN"/>
        </w:rPr>
      </w:pPr>
      <w:r w:rsidRPr="00F22984">
        <w:rPr>
          <w:rFonts w:ascii="Times New Roman" w:eastAsia="Times New Roman" w:hAnsi="Times New Roman" w:cs="Times New Roman"/>
          <w:bCs/>
          <w:color w:val="FF0000"/>
          <w:kern w:val="3"/>
          <w:sz w:val="28"/>
          <w:szCs w:val="28"/>
          <w:lang w:val="en-US" w:eastAsia="zh-CN" w:bidi="hi-IN"/>
        </w:rPr>
        <w:t xml:space="preserve"> </w:t>
      </w:r>
      <w:r w:rsidRPr="001616CB">
        <w:rPr>
          <w:rFonts w:ascii="Times New Roman" w:eastAsia="Times New Roman" w:hAnsi="Times New Roman" w:cs="Times New Roman"/>
          <w:b/>
          <w:bCs/>
          <w:kern w:val="3"/>
          <w:sz w:val="28"/>
          <w:szCs w:val="28"/>
          <w:lang w:val="en-US" w:eastAsia="zh-CN" w:bidi="hi-IN"/>
        </w:rPr>
        <w:t>Keywords:</w:t>
      </w:r>
      <w:r w:rsidRPr="001616CB">
        <w:rPr>
          <w:rFonts w:ascii="Times New Roman" w:eastAsia="Times New Roman" w:hAnsi="Times New Roman" w:cs="Times New Roman"/>
          <w:bCs/>
          <w:kern w:val="3"/>
          <w:sz w:val="28"/>
          <w:szCs w:val="28"/>
          <w:lang w:val="en-US" w:eastAsia="zh-CN" w:bidi="hi-IN"/>
        </w:rPr>
        <w:t xml:space="preserve"> </w:t>
      </w:r>
      <w:proofErr w:type="gramStart"/>
      <w:r w:rsidR="006102CC" w:rsidRPr="006102CC">
        <w:rPr>
          <w:rFonts w:ascii="Times New Roman" w:eastAsia="Times New Roman" w:hAnsi="Times New Roman" w:cs="Times New Roman"/>
          <w:bCs/>
          <w:kern w:val="3"/>
          <w:sz w:val="28"/>
          <w:szCs w:val="28"/>
          <w:lang w:val="en-US" w:eastAsia="zh-CN" w:bidi="hi-IN"/>
        </w:rPr>
        <w:t>deposits(</w:t>
      </w:r>
      <w:proofErr w:type="gramEnd"/>
      <w:r w:rsidR="006102CC" w:rsidRPr="006102CC">
        <w:rPr>
          <w:rFonts w:ascii="Times New Roman" w:eastAsia="Times New Roman" w:hAnsi="Times New Roman" w:cs="Times New Roman"/>
          <w:bCs/>
          <w:kern w:val="3"/>
          <w:sz w:val="28"/>
          <w:szCs w:val="28"/>
          <w:lang w:val="en-US" w:eastAsia="zh-CN" w:bidi="hi-IN"/>
        </w:rPr>
        <w:t xml:space="preserve"> deposits), key rate of the Bank of Russia, currency, credit, weighted average rate, term deposits (deposits), deposits (deposits) of </w:t>
      </w:r>
      <w:r w:rsidR="006102CC" w:rsidRPr="006102CC">
        <w:rPr>
          <w:rFonts w:ascii="Times New Roman" w:eastAsia="Times New Roman" w:hAnsi="Times New Roman" w:cs="Times New Roman"/>
          <w:bCs/>
          <w:kern w:val="3"/>
          <w:sz w:val="28"/>
          <w:szCs w:val="28"/>
          <w:lang w:val="en-US" w:eastAsia="zh-CN" w:bidi="hi-IN"/>
        </w:rPr>
        <w:lastRenderedPageBreak/>
        <w:t>individuals, deposits (deposits) on demand.</w:t>
      </w:r>
    </w:p>
    <w:p w:rsidR="00962E8F" w:rsidRPr="00962E8F" w:rsidRDefault="00962E8F" w:rsidP="00962E8F">
      <w:pPr>
        <w:widowControl w:val="0"/>
        <w:suppressAutoHyphens/>
        <w:autoSpaceDN w:val="0"/>
        <w:spacing w:after="0" w:line="240" w:lineRule="auto"/>
        <w:ind w:firstLine="720"/>
        <w:textAlignment w:val="baseline"/>
        <w:rPr>
          <w:rFonts w:ascii="Times New Roman" w:eastAsia="Times New Roman" w:hAnsi="Times New Roman" w:cs="Times New Roman"/>
          <w:bCs/>
          <w:kern w:val="3"/>
          <w:sz w:val="28"/>
          <w:szCs w:val="28"/>
          <w:lang w:val="en-US" w:eastAsia="zh-CN" w:bidi="hi-IN"/>
        </w:rPr>
      </w:pPr>
    </w:p>
    <w:p w:rsidR="00E93E36" w:rsidRDefault="00E93E36" w:rsidP="00E93E36">
      <w:pPr>
        <w:widowControl w:val="0"/>
        <w:suppressAutoHyphens/>
        <w:autoSpaceDN w:val="0"/>
        <w:spacing w:after="0" w:line="360" w:lineRule="auto"/>
        <w:ind w:firstLine="709"/>
        <w:jc w:val="both"/>
        <w:textAlignment w:val="baseline"/>
        <w:rPr>
          <w:rFonts w:ascii="Times New Roman" w:eastAsia="Times New Roman" w:hAnsi="Times New Roman" w:cs="Times New Roman"/>
          <w:bCs/>
          <w:kern w:val="3"/>
          <w:sz w:val="28"/>
          <w:szCs w:val="28"/>
          <w:lang w:eastAsia="zh-CN" w:bidi="hi-IN"/>
        </w:rPr>
      </w:pPr>
      <w:r w:rsidRPr="00E93E36">
        <w:rPr>
          <w:rFonts w:ascii="Times New Roman" w:eastAsia="Times New Roman" w:hAnsi="Times New Roman" w:cs="Times New Roman"/>
          <w:bCs/>
          <w:kern w:val="3"/>
          <w:sz w:val="28"/>
          <w:szCs w:val="28"/>
          <w:lang w:eastAsia="zh-CN" w:bidi="hi-IN"/>
        </w:rPr>
        <w:t>Вклады (депозит</w:t>
      </w:r>
      <w:r>
        <w:rPr>
          <w:rFonts w:ascii="Times New Roman" w:eastAsia="Times New Roman" w:hAnsi="Times New Roman" w:cs="Times New Roman"/>
          <w:bCs/>
          <w:kern w:val="3"/>
          <w:sz w:val="28"/>
          <w:szCs w:val="28"/>
          <w:lang w:eastAsia="zh-CN" w:bidi="hi-IN"/>
        </w:rPr>
        <w:t>ы) в рублях/иностранной валюте – это</w:t>
      </w:r>
      <w:r w:rsidRPr="00E93E36">
        <w:rPr>
          <w:rFonts w:ascii="Times New Roman" w:eastAsia="Times New Roman" w:hAnsi="Times New Roman" w:cs="Times New Roman"/>
          <w:bCs/>
          <w:kern w:val="3"/>
          <w:sz w:val="28"/>
          <w:szCs w:val="28"/>
          <w:lang w:eastAsia="zh-CN" w:bidi="hi-IN"/>
        </w:rPr>
        <w:t xml:space="preserve"> денежные средства (в валюте Российской Федерации или иностранной валюте, в наличной или безналичной форме), размещаемые юридическими и физическими лицами (резидентами и нерезидентами) в кредитной организации на основании договора банковского вклада (депозита) или договора банковского счета (включая сберегательные/депозитные сертификаты). </w:t>
      </w:r>
    </w:p>
    <w:p w:rsidR="00E93E36" w:rsidRDefault="00E93E36" w:rsidP="00E93E36">
      <w:pPr>
        <w:widowControl w:val="0"/>
        <w:suppressAutoHyphens/>
        <w:autoSpaceDN w:val="0"/>
        <w:spacing w:after="0" w:line="360" w:lineRule="auto"/>
        <w:ind w:firstLine="709"/>
        <w:jc w:val="both"/>
        <w:textAlignment w:val="baseline"/>
        <w:rPr>
          <w:rFonts w:ascii="Times New Roman" w:eastAsia="Times New Roman" w:hAnsi="Times New Roman" w:cs="Times New Roman"/>
          <w:bCs/>
          <w:kern w:val="3"/>
          <w:sz w:val="28"/>
          <w:szCs w:val="28"/>
          <w:lang w:eastAsia="zh-CN" w:bidi="hi-IN"/>
        </w:rPr>
      </w:pPr>
      <w:r w:rsidRPr="00E93E36">
        <w:rPr>
          <w:rFonts w:ascii="Times New Roman" w:eastAsia="Times New Roman" w:hAnsi="Times New Roman" w:cs="Times New Roman"/>
          <w:bCs/>
          <w:kern w:val="3"/>
          <w:sz w:val="28"/>
          <w:szCs w:val="28"/>
          <w:lang w:eastAsia="zh-CN" w:bidi="hi-IN"/>
        </w:rPr>
        <w:t xml:space="preserve">Вклады (депозиты) до востребования </w:t>
      </w:r>
      <w:r w:rsidR="00171986" w:rsidRPr="00171986">
        <w:rPr>
          <w:rFonts w:ascii="Times New Roman" w:eastAsia="Times New Roman" w:hAnsi="Times New Roman" w:cs="Times New Roman"/>
          <w:bCs/>
          <w:kern w:val="3"/>
          <w:sz w:val="28"/>
          <w:szCs w:val="28"/>
          <w:lang w:eastAsia="zh-CN" w:bidi="hi-IN"/>
        </w:rPr>
        <w:t>–</w:t>
      </w:r>
      <w:r w:rsidRPr="00E93E36">
        <w:rPr>
          <w:rFonts w:ascii="Times New Roman" w:eastAsia="Times New Roman" w:hAnsi="Times New Roman" w:cs="Times New Roman"/>
          <w:bCs/>
          <w:kern w:val="3"/>
          <w:sz w:val="28"/>
          <w:szCs w:val="28"/>
          <w:lang w:eastAsia="zh-CN" w:bidi="hi-IN"/>
        </w:rPr>
        <w:t xml:space="preserve"> денежные средства,</w:t>
      </w:r>
      <w:r w:rsidR="00171986">
        <w:rPr>
          <w:rFonts w:ascii="Times New Roman" w:eastAsia="Times New Roman" w:hAnsi="Times New Roman" w:cs="Times New Roman"/>
          <w:bCs/>
          <w:kern w:val="3"/>
          <w:sz w:val="28"/>
          <w:szCs w:val="28"/>
          <w:lang w:eastAsia="zh-CN" w:bidi="hi-IN"/>
        </w:rPr>
        <w:t xml:space="preserve"> подлежащие возврату или получению</w:t>
      </w:r>
      <w:r w:rsidRPr="00E93E36">
        <w:rPr>
          <w:rFonts w:ascii="Times New Roman" w:eastAsia="Times New Roman" w:hAnsi="Times New Roman" w:cs="Times New Roman"/>
          <w:bCs/>
          <w:kern w:val="3"/>
          <w:sz w:val="28"/>
          <w:szCs w:val="28"/>
          <w:lang w:eastAsia="zh-CN" w:bidi="hi-IN"/>
        </w:rPr>
        <w:t xml:space="preserve"> по первому требованию (на условиях до востребования), а также средства,</w:t>
      </w:r>
      <w:r w:rsidR="00171986">
        <w:rPr>
          <w:rFonts w:ascii="Times New Roman" w:eastAsia="Times New Roman" w:hAnsi="Times New Roman" w:cs="Times New Roman"/>
          <w:bCs/>
          <w:kern w:val="3"/>
          <w:sz w:val="28"/>
          <w:szCs w:val="28"/>
          <w:lang w:eastAsia="zh-CN" w:bidi="hi-IN"/>
        </w:rPr>
        <w:t xml:space="preserve"> подлежащие возврату или получению</w:t>
      </w:r>
      <w:r w:rsidRPr="00E93E36">
        <w:rPr>
          <w:rFonts w:ascii="Times New Roman" w:eastAsia="Times New Roman" w:hAnsi="Times New Roman" w:cs="Times New Roman"/>
          <w:bCs/>
          <w:kern w:val="3"/>
          <w:sz w:val="28"/>
          <w:szCs w:val="28"/>
          <w:lang w:eastAsia="zh-CN" w:bidi="hi-IN"/>
        </w:rPr>
        <w:t xml:space="preserve"> при наступлении предусмотренного договором условия (события), конкретная дата ко</w:t>
      </w:r>
      <w:r w:rsidR="00171986">
        <w:rPr>
          <w:rFonts w:ascii="Times New Roman" w:eastAsia="Times New Roman" w:hAnsi="Times New Roman" w:cs="Times New Roman"/>
          <w:bCs/>
          <w:kern w:val="3"/>
          <w:sz w:val="28"/>
          <w:szCs w:val="28"/>
          <w:lang w:eastAsia="zh-CN" w:bidi="hi-IN"/>
        </w:rPr>
        <w:t>торого неизвестна (на условиях «</w:t>
      </w:r>
      <w:r w:rsidRPr="00E93E36">
        <w:rPr>
          <w:rFonts w:ascii="Times New Roman" w:eastAsia="Times New Roman" w:hAnsi="Times New Roman" w:cs="Times New Roman"/>
          <w:bCs/>
          <w:kern w:val="3"/>
          <w:sz w:val="28"/>
          <w:szCs w:val="28"/>
          <w:lang w:eastAsia="zh-CN" w:bidi="hi-IN"/>
        </w:rPr>
        <w:t>д</w:t>
      </w:r>
      <w:r w:rsidR="00171986">
        <w:rPr>
          <w:rFonts w:ascii="Times New Roman" w:eastAsia="Times New Roman" w:hAnsi="Times New Roman" w:cs="Times New Roman"/>
          <w:bCs/>
          <w:kern w:val="3"/>
          <w:sz w:val="28"/>
          <w:szCs w:val="28"/>
          <w:lang w:eastAsia="zh-CN" w:bidi="hi-IN"/>
        </w:rPr>
        <w:t>о наступления условия (события)»</w:t>
      </w:r>
      <w:r w:rsidRPr="00E93E36">
        <w:rPr>
          <w:rFonts w:ascii="Times New Roman" w:eastAsia="Times New Roman" w:hAnsi="Times New Roman" w:cs="Times New Roman"/>
          <w:bCs/>
          <w:kern w:val="3"/>
          <w:sz w:val="28"/>
          <w:szCs w:val="28"/>
          <w:lang w:eastAsia="zh-CN" w:bidi="hi-IN"/>
        </w:rPr>
        <w:t xml:space="preserve">). </w:t>
      </w:r>
    </w:p>
    <w:p w:rsidR="00E93E36" w:rsidRDefault="00E93E36" w:rsidP="00E93E36">
      <w:pPr>
        <w:widowControl w:val="0"/>
        <w:suppressAutoHyphens/>
        <w:autoSpaceDN w:val="0"/>
        <w:spacing w:after="0" w:line="360" w:lineRule="auto"/>
        <w:ind w:firstLine="709"/>
        <w:jc w:val="both"/>
        <w:textAlignment w:val="baseline"/>
        <w:rPr>
          <w:rFonts w:ascii="Times New Roman" w:eastAsia="Times New Roman" w:hAnsi="Times New Roman" w:cs="Times New Roman"/>
          <w:bCs/>
          <w:kern w:val="3"/>
          <w:sz w:val="28"/>
          <w:szCs w:val="28"/>
          <w:lang w:eastAsia="zh-CN" w:bidi="hi-IN"/>
        </w:rPr>
      </w:pPr>
      <w:r w:rsidRPr="00E93E36">
        <w:rPr>
          <w:rFonts w:ascii="Times New Roman" w:eastAsia="Times New Roman" w:hAnsi="Times New Roman" w:cs="Times New Roman"/>
          <w:bCs/>
          <w:kern w:val="3"/>
          <w:sz w:val="28"/>
          <w:szCs w:val="28"/>
          <w:lang w:eastAsia="zh-CN" w:bidi="hi-IN"/>
        </w:rPr>
        <w:t xml:space="preserve">Срочные вклады (депозиты) </w:t>
      </w:r>
      <w:r w:rsidR="00171986" w:rsidRPr="00171986">
        <w:rPr>
          <w:rFonts w:ascii="Times New Roman" w:eastAsia="Times New Roman" w:hAnsi="Times New Roman" w:cs="Times New Roman"/>
          <w:bCs/>
          <w:kern w:val="3"/>
          <w:sz w:val="28"/>
          <w:szCs w:val="28"/>
          <w:lang w:eastAsia="zh-CN" w:bidi="hi-IN"/>
        </w:rPr>
        <w:t>–</w:t>
      </w:r>
      <w:r w:rsidRPr="00E93E36">
        <w:rPr>
          <w:rFonts w:ascii="Times New Roman" w:eastAsia="Times New Roman" w:hAnsi="Times New Roman" w:cs="Times New Roman"/>
          <w:bCs/>
          <w:kern w:val="3"/>
          <w:sz w:val="28"/>
          <w:szCs w:val="28"/>
          <w:lang w:eastAsia="zh-CN" w:bidi="hi-IN"/>
        </w:rPr>
        <w:t xml:space="preserve"> денежные средства, привлеченные кредитной организацией на условиях возврата вклада по истечении определенного договором срока. Размер процентной ставки по срочным вкладам определяется договором банковского вклада. </w:t>
      </w:r>
    </w:p>
    <w:p w:rsidR="00E93E36" w:rsidRDefault="00E93E36" w:rsidP="00E93E36">
      <w:pPr>
        <w:widowControl w:val="0"/>
        <w:suppressAutoHyphens/>
        <w:autoSpaceDN w:val="0"/>
        <w:spacing w:after="0" w:line="360" w:lineRule="auto"/>
        <w:ind w:firstLine="709"/>
        <w:jc w:val="both"/>
        <w:textAlignment w:val="baseline"/>
        <w:rPr>
          <w:rFonts w:ascii="Times New Roman" w:eastAsia="Times New Roman" w:hAnsi="Times New Roman" w:cs="Times New Roman"/>
          <w:bCs/>
          <w:kern w:val="3"/>
          <w:sz w:val="28"/>
          <w:szCs w:val="28"/>
          <w:lang w:eastAsia="zh-CN" w:bidi="hi-IN"/>
        </w:rPr>
      </w:pPr>
      <w:r w:rsidRPr="00E93E36">
        <w:rPr>
          <w:rFonts w:ascii="Times New Roman" w:eastAsia="Times New Roman" w:hAnsi="Times New Roman" w:cs="Times New Roman"/>
          <w:bCs/>
          <w:kern w:val="3"/>
          <w:sz w:val="28"/>
          <w:szCs w:val="28"/>
          <w:lang w:eastAsia="zh-CN" w:bidi="hi-IN"/>
        </w:rPr>
        <w:t xml:space="preserve">Вклады (депозиты) физических лиц </w:t>
      </w:r>
      <w:r w:rsidR="00171986" w:rsidRPr="00171986">
        <w:rPr>
          <w:rFonts w:ascii="Times New Roman" w:eastAsia="Times New Roman" w:hAnsi="Times New Roman" w:cs="Times New Roman"/>
          <w:bCs/>
          <w:kern w:val="3"/>
          <w:sz w:val="28"/>
          <w:szCs w:val="28"/>
          <w:lang w:eastAsia="zh-CN" w:bidi="hi-IN"/>
        </w:rPr>
        <w:t>–</w:t>
      </w:r>
      <w:r w:rsidRPr="00E93E36">
        <w:rPr>
          <w:rFonts w:ascii="Times New Roman" w:eastAsia="Times New Roman" w:hAnsi="Times New Roman" w:cs="Times New Roman"/>
          <w:bCs/>
          <w:kern w:val="3"/>
          <w:sz w:val="28"/>
          <w:szCs w:val="28"/>
          <w:lang w:eastAsia="zh-CN" w:bidi="hi-IN"/>
        </w:rPr>
        <w:t xml:space="preserve"> депозиты и прочие привлеченные кредитными организациями средства физических лиц (включая сберегательные сертификаты), неисполненные обязательства по договорам на привлечение средств по депозитам и прочим привлеченным средствам, а также средства </w:t>
      </w:r>
      <w:r w:rsidR="001616CB">
        <w:rPr>
          <w:rFonts w:ascii="Times New Roman" w:eastAsia="Times New Roman" w:hAnsi="Times New Roman" w:cs="Times New Roman"/>
          <w:bCs/>
          <w:kern w:val="3"/>
          <w:sz w:val="28"/>
          <w:szCs w:val="28"/>
          <w:lang w:eastAsia="zh-CN" w:bidi="hi-IN"/>
        </w:rPr>
        <w:t>на прочих счетах физических лиц</w:t>
      </w:r>
      <w:r w:rsidRPr="00E93E36">
        <w:rPr>
          <w:rFonts w:ascii="Times New Roman" w:eastAsia="Times New Roman" w:hAnsi="Times New Roman" w:cs="Times New Roman"/>
          <w:bCs/>
          <w:kern w:val="3"/>
          <w:sz w:val="28"/>
          <w:szCs w:val="28"/>
          <w:lang w:eastAsia="zh-CN" w:bidi="hi-IN"/>
        </w:rPr>
        <w:t xml:space="preserve"> </w:t>
      </w:r>
      <w:r w:rsidR="001616CB">
        <w:rPr>
          <w:rFonts w:ascii="Times New Roman" w:eastAsia="Times New Roman" w:hAnsi="Times New Roman" w:cs="Times New Roman"/>
          <w:bCs/>
          <w:kern w:val="3"/>
          <w:sz w:val="28"/>
          <w:szCs w:val="28"/>
          <w:lang w:eastAsia="zh-CN" w:bidi="ru-RU"/>
        </w:rPr>
        <w:t>[2</w:t>
      </w:r>
      <w:r w:rsidR="001616CB" w:rsidRPr="001616CB">
        <w:rPr>
          <w:rFonts w:ascii="Times New Roman" w:eastAsia="Times New Roman" w:hAnsi="Times New Roman" w:cs="Times New Roman"/>
          <w:bCs/>
          <w:kern w:val="3"/>
          <w:sz w:val="28"/>
          <w:szCs w:val="28"/>
          <w:lang w:eastAsia="zh-CN" w:bidi="ru-RU"/>
        </w:rPr>
        <w:t>]</w:t>
      </w:r>
      <w:r w:rsidR="001616CB" w:rsidRPr="001616CB">
        <w:rPr>
          <w:rFonts w:ascii="Times New Roman" w:eastAsia="Times New Roman" w:hAnsi="Times New Roman" w:cs="Times New Roman"/>
          <w:bCs/>
          <w:kern w:val="3"/>
          <w:sz w:val="28"/>
          <w:szCs w:val="28"/>
          <w:lang w:eastAsia="zh-CN" w:bidi="hi-IN"/>
        </w:rPr>
        <w:t>.</w:t>
      </w:r>
    </w:p>
    <w:p w:rsidR="00171986" w:rsidRDefault="00E93E36" w:rsidP="00E93E36">
      <w:pPr>
        <w:spacing w:after="0" w:line="360" w:lineRule="auto"/>
        <w:ind w:firstLine="709"/>
        <w:jc w:val="both"/>
        <w:rPr>
          <w:rFonts w:ascii="Times New Roman" w:eastAsia="Times New Roman" w:hAnsi="Times New Roman" w:cs="Times New Roman"/>
          <w:bCs/>
          <w:kern w:val="3"/>
          <w:sz w:val="28"/>
          <w:szCs w:val="28"/>
          <w:lang w:eastAsia="zh-CN" w:bidi="hi-IN"/>
        </w:rPr>
      </w:pPr>
      <w:r w:rsidRPr="00E93E36">
        <w:rPr>
          <w:rFonts w:ascii="Times New Roman" w:eastAsia="Times New Roman" w:hAnsi="Times New Roman" w:cs="Times New Roman"/>
          <w:bCs/>
          <w:kern w:val="3"/>
          <w:sz w:val="28"/>
          <w:szCs w:val="28"/>
          <w:lang w:eastAsia="zh-CN" w:bidi="hi-IN"/>
        </w:rPr>
        <w:t xml:space="preserve">Ключевая ставка Банка России </w:t>
      </w:r>
      <w:r w:rsidR="00171986" w:rsidRPr="00171986">
        <w:rPr>
          <w:rFonts w:ascii="Times New Roman" w:eastAsia="Times New Roman" w:hAnsi="Times New Roman" w:cs="Times New Roman"/>
          <w:bCs/>
          <w:kern w:val="3"/>
          <w:sz w:val="28"/>
          <w:szCs w:val="28"/>
          <w:lang w:eastAsia="zh-CN" w:bidi="hi-IN"/>
        </w:rPr>
        <w:t>–</w:t>
      </w:r>
      <w:r w:rsidRPr="00E93E36">
        <w:rPr>
          <w:rFonts w:ascii="Times New Roman" w:eastAsia="Times New Roman" w:hAnsi="Times New Roman" w:cs="Times New Roman"/>
          <w:bCs/>
          <w:kern w:val="3"/>
          <w:sz w:val="28"/>
          <w:szCs w:val="28"/>
          <w:lang w:eastAsia="zh-CN" w:bidi="hi-IN"/>
        </w:rPr>
        <w:t xml:space="preserve"> процентная ставка по основным операциям Банка России по регулированию ликвидности банковского сектора (аукционным операциям предоставления и абсорбирования Банком России рублевой ликвидности на срок 1 неделя). Ключевая ставка Банка России устанавливается Советом директоров Банка Росс</w:t>
      </w:r>
      <w:r w:rsidR="00171986">
        <w:rPr>
          <w:rFonts w:ascii="Times New Roman" w:eastAsia="Times New Roman" w:hAnsi="Times New Roman" w:cs="Times New Roman"/>
          <w:bCs/>
          <w:kern w:val="3"/>
          <w:sz w:val="28"/>
          <w:szCs w:val="28"/>
          <w:lang w:eastAsia="zh-CN" w:bidi="hi-IN"/>
        </w:rPr>
        <w:t>ии, а также</w:t>
      </w:r>
      <w:r w:rsidRPr="00E93E36">
        <w:rPr>
          <w:rFonts w:ascii="Times New Roman" w:eastAsia="Times New Roman" w:hAnsi="Times New Roman" w:cs="Times New Roman"/>
          <w:bCs/>
          <w:kern w:val="3"/>
          <w:sz w:val="28"/>
          <w:szCs w:val="28"/>
          <w:lang w:eastAsia="zh-CN" w:bidi="hi-IN"/>
        </w:rPr>
        <w:t xml:space="preserve"> является индикатором направленно</w:t>
      </w:r>
      <w:r w:rsidR="00171986">
        <w:rPr>
          <w:rFonts w:ascii="Times New Roman" w:eastAsia="Times New Roman" w:hAnsi="Times New Roman" w:cs="Times New Roman"/>
          <w:bCs/>
          <w:kern w:val="3"/>
          <w:sz w:val="28"/>
          <w:szCs w:val="28"/>
          <w:lang w:eastAsia="zh-CN" w:bidi="hi-IN"/>
        </w:rPr>
        <w:t>сти денежно-кредитной политики.</w:t>
      </w:r>
    </w:p>
    <w:p w:rsidR="00BF037B" w:rsidRDefault="00E93E36" w:rsidP="00171986">
      <w:pPr>
        <w:spacing w:after="0" w:line="360" w:lineRule="auto"/>
        <w:ind w:firstLine="709"/>
        <w:jc w:val="both"/>
        <w:rPr>
          <w:rFonts w:ascii="Times New Roman" w:eastAsia="Times New Roman" w:hAnsi="Times New Roman" w:cs="Times New Roman"/>
          <w:bCs/>
          <w:kern w:val="3"/>
          <w:sz w:val="28"/>
          <w:szCs w:val="28"/>
          <w:lang w:eastAsia="zh-CN" w:bidi="hi-IN"/>
        </w:rPr>
      </w:pPr>
      <w:r w:rsidRPr="00E93E36">
        <w:rPr>
          <w:rFonts w:ascii="Times New Roman" w:eastAsia="Times New Roman" w:hAnsi="Times New Roman" w:cs="Times New Roman"/>
          <w:bCs/>
          <w:kern w:val="3"/>
          <w:sz w:val="28"/>
          <w:szCs w:val="28"/>
          <w:lang w:eastAsia="zh-CN" w:bidi="hi-IN"/>
        </w:rPr>
        <w:lastRenderedPageBreak/>
        <w:t>Средневзвешенная ставка – ставка, взвешенная по объемам предоставленных кредитов и срокам пользовани</w:t>
      </w:r>
      <w:r w:rsidR="00171986">
        <w:rPr>
          <w:rFonts w:ascii="Times New Roman" w:eastAsia="Times New Roman" w:hAnsi="Times New Roman" w:cs="Times New Roman"/>
          <w:bCs/>
          <w:kern w:val="3"/>
          <w:sz w:val="28"/>
          <w:szCs w:val="28"/>
          <w:lang w:eastAsia="zh-CN" w:bidi="hi-IN"/>
        </w:rPr>
        <w:t xml:space="preserve">я кредитами </w:t>
      </w:r>
      <w:r w:rsidR="00962E8F" w:rsidRPr="00962E8F">
        <w:rPr>
          <w:rFonts w:ascii="Times New Roman" w:eastAsia="Times New Roman" w:hAnsi="Times New Roman" w:cs="Times New Roman"/>
          <w:bCs/>
          <w:kern w:val="3"/>
          <w:sz w:val="28"/>
          <w:szCs w:val="28"/>
          <w:lang w:eastAsia="zh-CN" w:bidi="ru-RU"/>
        </w:rPr>
        <w:t>[3]</w:t>
      </w:r>
      <w:r w:rsidR="00962E8F" w:rsidRPr="00962E8F">
        <w:rPr>
          <w:rFonts w:ascii="Times New Roman" w:eastAsia="Times New Roman" w:hAnsi="Times New Roman" w:cs="Times New Roman"/>
          <w:bCs/>
          <w:kern w:val="3"/>
          <w:sz w:val="28"/>
          <w:szCs w:val="28"/>
          <w:lang w:eastAsia="zh-CN" w:bidi="hi-IN"/>
        </w:rPr>
        <w:t>.</w:t>
      </w:r>
    </w:p>
    <w:p w:rsidR="00E93E36" w:rsidRPr="00962E8F" w:rsidRDefault="00E93E36" w:rsidP="00E93E36">
      <w:pPr>
        <w:widowControl w:val="0"/>
        <w:suppressAutoHyphens/>
        <w:autoSpaceDN w:val="0"/>
        <w:spacing w:after="0" w:line="360" w:lineRule="auto"/>
        <w:ind w:firstLine="709"/>
        <w:jc w:val="both"/>
        <w:textAlignment w:val="baseline"/>
        <w:rPr>
          <w:rFonts w:ascii="Times New Roman" w:eastAsia="Times New Roman" w:hAnsi="Times New Roman" w:cs="Times New Roman"/>
          <w:bCs/>
          <w:kern w:val="3"/>
          <w:sz w:val="28"/>
          <w:szCs w:val="28"/>
          <w:lang w:eastAsia="zh-CN" w:bidi="hi-IN"/>
        </w:rPr>
      </w:pPr>
    </w:p>
    <w:tbl>
      <w:tblPr>
        <w:tblStyle w:val="a3"/>
        <w:tblW w:w="0" w:type="auto"/>
        <w:tblLook w:val="04A0" w:firstRow="1" w:lastRow="0" w:firstColumn="1" w:lastColumn="0" w:noHBand="0" w:noVBand="1"/>
      </w:tblPr>
      <w:tblGrid>
        <w:gridCol w:w="9355"/>
      </w:tblGrid>
      <w:tr w:rsidR="00BF037B" w:rsidTr="00FB34E4">
        <w:tc>
          <w:tcPr>
            <w:tcW w:w="9345" w:type="dxa"/>
            <w:tcBorders>
              <w:top w:val="nil"/>
              <w:left w:val="nil"/>
              <w:bottom w:val="nil"/>
              <w:right w:val="nil"/>
            </w:tcBorders>
          </w:tcPr>
          <w:p w:rsidR="00BF037B" w:rsidRDefault="00BF037B">
            <w:r>
              <w:rPr>
                <w:noProof/>
                <w:lang w:eastAsia="ru-RU"/>
              </w:rPr>
              <w:drawing>
                <wp:inline distT="0" distB="0" distL="0" distR="0" wp14:anchorId="5DB5BB0A" wp14:editId="1FD569AB">
                  <wp:extent cx="5800725" cy="32670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BF037B" w:rsidTr="00FB34E4">
        <w:tc>
          <w:tcPr>
            <w:tcW w:w="9345" w:type="dxa"/>
            <w:tcBorders>
              <w:top w:val="nil"/>
              <w:left w:val="nil"/>
              <w:bottom w:val="nil"/>
              <w:right w:val="nil"/>
            </w:tcBorders>
          </w:tcPr>
          <w:p w:rsidR="00BF037B" w:rsidRPr="00962E8F" w:rsidRDefault="00BF037B" w:rsidP="00BF037B">
            <w:pPr>
              <w:jc w:val="center"/>
              <w:rPr>
                <w:rFonts w:ascii="Times New Roman" w:hAnsi="Times New Roman" w:cs="Times New Roman"/>
              </w:rPr>
            </w:pPr>
            <w:r w:rsidRPr="00962E8F">
              <w:rPr>
                <w:rFonts w:ascii="Times New Roman" w:hAnsi="Times New Roman" w:cs="Times New Roman"/>
              </w:rPr>
              <w:t xml:space="preserve">Рисунок 1 – </w:t>
            </w:r>
            <w:r w:rsidR="00962E8F" w:rsidRPr="00962E8F">
              <w:rPr>
                <w:rFonts w:ascii="Times New Roman" w:hAnsi="Times New Roman" w:cs="Times New Roman"/>
              </w:rPr>
              <w:t xml:space="preserve">Динамика </w:t>
            </w:r>
            <w:r w:rsidRPr="00962E8F">
              <w:rPr>
                <w:rFonts w:ascii="Times New Roman" w:hAnsi="Times New Roman" w:cs="Times New Roman"/>
              </w:rPr>
              <w:t>с</w:t>
            </w:r>
            <w:r w:rsidR="00962E8F" w:rsidRPr="00962E8F">
              <w:rPr>
                <w:rFonts w:ascii="Times New Roman" w:hAnsi="Times New Roman" w:cs="Times New Roman"/>
              </w:rPr>
              <w:t>редневзвешенных ставок</w:t>
            </w:r>
            <w:r w:rsidRPr="00962E8F">
              <w:rPr>
                <w:rFonts w:ascii="Times New Roman" w:hAnsi="Times New Roman" w:cs="Times New Roman"/>
              </w:rPr>
              <w:t xml:space="preserve"> по кредитам, предоставленным нефин</w:t>
            </w:r>
            <w:r w:rsidR="00962E8F" w:rsidRPr="00962E8F">
              <w:rPr>
                <w:rFonts w:ascii="Times New Roman" w:hAnsi="Times New Roman" w:cs="Times New Roman"/>
              </w:rPr>
              <w:t>ансовым организациям, и ключевой</w:t>
            </w:r>
            <w:r w:rsidRPr="00962E8F">
              <w:rPr>
                <w:rFonts w:ascii="Times New Roman" w:hAnsi="Times New Roman" w:cs="Times New Roman"/>
              </w:rPr>
              <w:t xml:space="preserve"> </w:t>
            </w:r>
            <w:r w:rsidR="00962E8F" w:rsidRPr="00962E8F">
              <w:rPr>
                <w:rFonts w:ascii="Times New Roman" w:hAnsi="Times New Roman" w:cs="Times New Roman"/>
              </w:rPr>
              <w:t>ставки Банка России в 2018-</w:t>
            </w:r>
            <w:r w:rsidRPr="00962E8F">
              <w:rPr>
                <w:rFonts w:ascii="Times New Roman" w:hAnsi="Times New Roman" w:cs="Times New Roman"/>
              </w:rPr>
              <w:t>2019</w:t>
            </w:r>
            <w:r w:rsidR="00962E8F" w:rsidRPr="00962E8F">
              <w:rPr>
                <w:rFonts w:ascii="Times New Roman" w:hAnsi="Times New Roman" w:cs="Times New Roman"/>
              </w:rPr>
              <w:t xml:space="preserve"> </w:t>
            </w:r>
            <w:r w:rsidRPr="00962E8F">
              <w:rPr>
                <w:rFonts w:ascii="Times New Roman" w:hAnsi="Times New Roman" w:cs="Times New Roman"/>
              </w:rPr>
              <w:t>гг.</w:t>
            </w:r>
          </w:p>
        </w:tc>
      </w:tr>
    </w:tbl>
    <w:p w:rsidR="00BF037B" w:rsidRDefault="00BF037B" w:rsidP="00962E8F">
      <w:pPr>
        <w:spacing w:after="0" w:line="360" w:lineRule="auto"/>
        <w:ind w:firstLine="709"/>
        <w:jc w:val="both"/>
        <w:rPr>
          <w:rFonts w:ascii="Times New Roman" w:hAnsi="Times New Roman" w:cs="Times New Roman"/>
          <w:sz w:val="28"/>
          <w:szCs w:val="28"/>
        </w:rPr>
      </w:pPr>
    </w:p>
    <w:p w:rsidR="00962E8F" w:rsidRDefault="00962E8F" w:rsidP="00962E8F">
      <w:pPr>
        <w:spacing w:after="0" w:line="360" w:lineRule="auto"/>
        <w:ind w:firstLine="709"/>
        <w:jc w:val="both"/>
        <w:rPr>
          <w:rFonts w:ascii="Times New Roman" w:hAnsi="Times New Roman" w:cs="Times New Roman"/>
          <w:bCs/>
          <w:sz w:val="28"/>
          <w:szCs w:val="28"/>
        </w:rPr>
      </w:pPr>
      <w:r w:rsidRPr="00962E8F">
        <w:rPr>
          <w:rFonts w:ascii="Times New Roman" w:hAnsi="Times New Roman" w:cs="Times New Roman"/>
          <w:sz w:val="28"/>
          <w:szCs w:val="28"/>
        </w:rPr>
        <w:t>Рассмотрев</w:t>
      </w:r>
      <w:r w:rsidRPr="00962E8F">
        <w:rPr>
          <w:rFonts w:ascii="Times New Roman" w:hAnsi="Times New Roman" w:cs="Times New Roman"/>
          <w:bCs/>
          <w:sz w:val="28"/>
          <w:szCs w:val="28"/>
        </w:rPr>
        <w:t xml:space="preserve"> динамику средневзвешенных ставок по кредитам, предоставленным нефинансовым организациям, и ключевой ставки Банка России в 2018-2019 гг., можно сделать следующие вывод</w:t>
      </w:r>
      <w:r>
        <w:rPr>
          <w:rFonts w:ascii="Times New Roman" w:hAnsi="Times New Roman" w:cs="Times New Roman"/>
          <w:bCs/>
          <w:sz w:val="28"/>
          <w:szCs w:val="28"/>
        </w:rPr>
        <w:t xml:space="preserve">ы: за исследуемый период по рублевым кредитам нефинансовым организациям </w:t>
      </w:r>
      <w:r w:rsidRPr="00962E8F">
        <w:rPr>
          <w:rFonts w:ascii="Times New Roman" w:hAnsi="Times New Roman" w:cs="Times New Roman"/>
          <w:bCs/>
          <w:sz w:val="28"/>
          <w:szCs w:val="28"/>
        </w:rPr>
        <w:t xml:space="preserve">(на все сроки до </w:t>
      </w:r>
      <w:r>
        <w:rPr>
          <w:rFonts w:ascii="Times New Roman" w:hAnsi="Times New Roman" w:cs="Times New Roman"/>
          <w:bCs/>
          <w:sz w:val="28"/>
          <w:szCs w:val="28"/>
        </w:rPr>
        <w:t>года, включая «до востребования»</w:t>
      </w:r>
      <w:r w:rsidRPr="00962E8F">
        <w:rPr>
          <w:rFonts w:ascii="Times New Roman" w:hAnsi="Times New Roman" w:cs="Times New Roman"/>
          <w:bCs/>
          <w:sz w:val="28"/>
          <w:szCs w:val="28"/>
        </w:rPr>
        <w:t>, без учета операций ПАО Сбербанка России)</w:t>
      </w:r>
      <w:r>
        <w:rPr>
          <w:rFonts w:ascii="Times New Roman" w:hAnsi="Times New Roman" w:cs="Times New Roman"/>
          <w:bCs/>
          <w:sz w:val="28"/>
          <w:szCs w:val="28"/>
        </w:rPr>
        <w:t xml:space="preserve"> можно отметить следующие изменения: в этапе с 01.01.2018 г. по </w:t>
      </w:r>
      <w:r w:rsidR="00944D27">
        <w:rPr>
          <w:rFonts w:ascii="Times New Roman" w:hAnsi="Times New Roman" w:cs="Times New Roman"/>
          <w:bCs/>
          <w:sz w:val="28"/>
          <w:szCs w:val="28"/>
        </w:rPr>
        <w:t>01.08.2018 г. показатель снизился на 0,5 %, а именно с 9,3 % до 8,8 %, при этом с 01.08.2018 г. по 01.09.2018 г. он возрос на 0,29 %, ставка увеличилась с 8,8 % до 9,09 %. В промежутке с 01.09.2018 г. по 01.10.2018 г. ставка сократилась на 0,09 %, в частности с 9,09 % до 9 %, однако в отрезок времени с 01.10.2018 г. по 01.03.2019 г. она выросла на 0,25 %, повышение произошло с 9 % до 9,25 %. С 01.03.2019 г. по 01.12.2019 г. показатель уменьшился на 1,45 %, понижение протекало с 9,25 % до 7,8 %.</w:t>
      </w:r>
    </w:p>
    <w:p w:rsidR="00944D27" w:rsidRPr="00962E8F" w:rsidRDefault="00944D27" w:rsidP="00962E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за изучаемый период </w:t>
      </w:r>
      <w:r w:rsidR="003966B7">
        <w:rPr>
          <w:rFonts w:ascii="Times New Roman" w:hAnsi="Times New Roman" w:cs="Times New Roman"/>
          <w:sz w:val="28"/>
          <w:szCs w:val="28"/>
        </w:rPr>
        <w:t>к</w:t>
      </w:r>
      <w:r w:rsidR="003966B7" w:rsidRPr="003966B7">
        <w:rPr>
          <w:rFonts w:ascii="Times New Roman" w:hAnsi="Times New Roman" w:cs="Times New Roman"/>
          <w:sz w:val="28"/>
          <w:szCs w:val="28"/>
        </w:rPr>
        <w:t>лючев</w:t>
      </w:r>
      <w:r w:rsidR="009724E8">
        <w:rPr>
          <w:rFonts w:ascii="Times New Roman" w:hAnsi="Times New Roman" w:cs="Times New Roman"/>
          <w:sz w:val="28"/>
          <w:szCs w:val="28"/>
        </w:rPr>
        <w:t xml:space="preserve">ая ставка, установленная Банком </w:t>
      </w:r>
      <w:r w:rsidR="003966B7" w:rsidRPr="003966B7">
        <w:rPr>
          <w:rFonts w:ascii="Times New Roman" w:hAnsi="Times New Roman" w:cs="Times New Roman"/>
          <w:sz w:val="28"/>
          <w:szCs w:val="28"/>
        </w:rPr>
        <w:t>России</w:t>
      </w:r>
      <w:r w:rsidR="009724E8">
        <w:rPr>
          <w:rFonts w:ascii="Times New Roman" w:hAnsi="Times New Roman" w:cs="Times New Roman"/>
          <w:sz w:val="28"/>
          <w:szCs w:val="28"/>
        </w:rPr>
        <w:t>, мен</w:t>
      </w:r>
      <w:r w:rsidR="005D79FF">
        <w:rPr>
          <w:rFonts w:ascii="Times New Roman" w:hAnsi="Times New Roman" w:cs="Times New Roman"/>
          <w:sz w:val="28"/>
          <w:szCs w:val="28"/>
        </w:rPr>
        <w:t>ялась следующим образом: говоря о промежутке времени</w:t>
      </w:r>
      <w:r w:rsidR="009724E8">
        <w:rPr>
          <w:rFonts w:ascii="Times New Roman" w:hAnsi="Times New Roman" w:cs="Times New Roman"/>
          <w:sz w:val="28"/>
          <w:szCs w:val="28"/>
        </w:rPr>
        <w:t xml:space="preserve"> с 01.01.2018 г. по 01.08.2018 г. </w:t>
      </w:r>
      <w:r w:rsidR="005D79FF">
        <w:rPr>
          <w:rFonts w:ascii="Times New Roman" w:hAnsi="Times New Roman" w:cs="Times New Roman"/>
          <w:sz w:val="28"/>
          <w:szCs w:val="28"/>
        </w:rPr>
        <w:t>замечено снижение показателя</w:t>
      </w:r>
      <w:r w:rsidR="009724E8">
        <w:rPr>
          <w:rFonts w:ascii="Times New Roman" w:hAnsi="Times New Roman" w:cs="Times New Roman"/>
          <w:sz w:val="28"/>
          <w:szCs w:val="28"/>
        </w:rPr>
        <w:t xml:space="preserve"> на </w:t>
      </w:r>
      <w:r w:rsidR="005D79FF">
        <w:rPr>
          <w:rFonts w:ascii="Times New Roman" w:hAnsi="Times New Roman" w:cs="Times New Roman"/>
          <w:sz w:val="28"/>
          <w:szCs w:val="28"/>
        </w:rPr>
        <w:t>0,5 %</w:t>
      </w:r>
      <w:r w:rsidR="009724E8">
        <w:rPr>
          <w:rFonts w:ascii="Times New Roman" w:hAnsi="Times New Roman" w:cs="Times New Roman"/>
          <w:sz w:val="28"/>
          <w:szCs w:val="28"/>
        </w:rPr>
        <w:t>, в частности с 7,75 % до 7,25 %</w:t>
      </w:r>
      <w:r w:rsidR="005D79FF">
        <w:rPr>
          <w:rFonts w:ascii="Times New Roman" w:hAnsi="Times New Roman" w:cs="Times New Roman"/>
          <w:sz w:val="28"/>
          <w:szCs w:val="28"/>
        </w:rPr>
        <w:t>, а в этапе с 01.08.2018 г. по 01.12.2018 г. он увеличился на 0,51 %, а именно с 7,25 % до 7,76 %. В промежуток с 01.12.2018 г. по 01.08.2019 г. ключевая ставка уменьшилась на</w:t>
      </w:r>
      <w:r w:rsidR="00327320">
        <w:rPr>
          <w:rFonts w:ascii="Times New Roman" w:hAnsi="Times New Roman" w:cs="Times New Roman"/>
          <w:sz w:val="28"/>
          <w:szCs w:val="28"/>
        </w:rPr>
        <w:t xml:space="preserve"> 0,51 %</w:t>
      </w:r>
      <w:r w:rsidR="005D79FF">
        <w:rPr>
          <w:rFonts w:ascii="Times New Roman" w:hAnsi="Times New Roman" w:cs="Times New Roman"/>
          <w:sz w:val="28"/>
          <w:szCs w:val="28"/>
        </w:rPr>
        <w:t xml:space="preserve">, понижение произошло с 7,76 % до </w:t>
      </w:r>
      <w:r w:rsidR="00327320">
        <w:rPr>
          <w:rFonts w:ascii="Times New Roman" w:hAnsi="Times New Roman" w:cs="Times New Roman"/>
          <w:sz w:val="28"/>
          <w:szCs w:val="28"/>
        </w:rPr>
        <w:t>7,25 %, однако в мае 2019 г. наблюдается небольшое возрастание ставки на 0,01 % в сравнении с апрелем 2019 г. и на 0,26 % в сравнении с июнем 2019 г. В отрезок времени с 01.08.2019 г. по 01.09.2019 г. показатель вырос на 0,25 %</w:t>
      </w:r>
      <w:r w:rsidR="005A2C17">
        <w:rPr>
          <w:rFonts w:ascii="Times New Roman" w:hAnsi="Times New Roman" w:cs="Times New Roman"/>
          <w:sz w:val="28"/>
          <w:szCs w:val="28"/>
        </w:rPr>
        <w:t>, повышение замечено</w:t>
      </w:r>
      <w:r w:rsidR="00327320">
        <w:rPr>
          <w:rFonts w:ascii="Times New Roman" w:hAnsi="Times New Roman" w:cs="Times New Roman"/>
          <w:sz w:val="28"/>
          <w:szCs w:val="28"/>
        </w:rPr>
        <w:t xml:space="preserve"> с 7,25 % до 7,5 %, а с 01.09.2019 г. по 01.12.2019 г. можно отметить тенденцию спада показателя, которая протекала с 7,5 % до 6,25 % и составила 1,25 %.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FB34E4" w:rsidTr="00FB34E4">
        <w:tc>
          <w:tcPr>
            <w:tcW w:w="9345" w:type="dxa"/>
          </w:tcPr>
          <w:p w:rsidR="00FB34E4" w:rsidRDefault="00FB34E4" w:rsidP="00FB34E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72150" cy="24669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FB34E4" w:rsidTr="00FB34E4">
        <w:tc>
          <w:tcPr>
            <w:tcW w:w="9345" w:type="dxa"/>
          </w:tcPr>
          <w:p w:rsidR="00FB34E4" w:rsidRPr="00FB34E4" w:rsidRDefault="00FB34E4" w:rsidP="00FB34E4">
            <w:pPr>
              <w:jc w:val="center"/>
              <w:rPr>
                <w:rFonts w:ascii="Times New Roman" w:hAnsi="Times New Roman" w:cs="Times New Roman"/>
              </w:rPr>
            </w:pPr>
            <w:r w:rsidRPr="00FB34E4">
              <w:rPr>
                <w:rFonts w:ascii="Times New Roman" w:hAnsi="Times New Roman" w:cs="Times New Roman"/>
              </w:rPr>
              <w:t>Рисунок 2 – Динамика структуры вкладов (депозитов) и прочих привлеченных кредитными организациями средств на начало года</w:t>
            </w:r>
          </w:p>
        </w:tc>
      </w:tr>
    </w:tbl>
    <w:p w:rsidR="00F22984" w:rsidRDefault="00F22984" w:rsidP="00962E8F">
      <w:pPr>
        <w:spacing w:after="0" w:line="360" w:lineRule="auto"/>
        <w:ind w:firstLine="709"/>
        <w:jc w:val="both"/>
        <w:rPr>
          <w:rFonts w:ascii="Times New Roman" w:hAnsi="Times New Roman" w:cs="Times New Roman"/>
          <w:sz w:val="28"/>
          <w:szCs w:val="28"/>
        </w:rPr>
      </w:pPr>
    </w:p>
    <w:p w:rsidR="00962E8F" w:rsidRDefault="00420C79" w:rsidP="00962E8F">
      <w:pPr>
        <w:spacing w:after="0" w:line="360" w:lineRule="auto"/>
        <w:ind w:firstLine="709"/>
        <w:jc w:val="both"/>
        <w:rPr>
          <w:rFonts w:ascii="Times New Roman" w:hAnsi="Times New Roman" w:cs="Times New Roman"/>
          <w:bCs/>
          <w:sz w:val="28"/>
          <w:szCs w:val="28"/>
        </w:rPr>
      </w:pPr>
      <w:r w:rsidRPr="00420C79">
        <w:rPr>
          <w:rFonts w:ascii="Times New Roman" w:hAnsi="Times New Roman" w:cs="Times New Roman"/>
          <w:sz w:val="28"/>
          <w:szCs w:val="28"/>
        </w:rPr>
        <w:t>При изучении изменений динамики структуры вкладов (депозитов) и прочих привлеченных кредитными организациями средств на начало года</w:t>
      </w:r>
      <w:r w:rsidRPr="00420C79">
        <w:rPr>
          <w:rFonts w:ascii="Times New Roman" w:hAnsi="Times New Roman" w:cs="Times New Roman"/>
          <w:bCs/>
          <w:sz w:val="28"/>
          <w:szCs w:val="28"/>
        </w:rPr>
        <w:t xml:space="preserve">, можно сделать следующие выводы: за исследуемый период </w:t>
      </w:r>
      <w:r>
        <w:rPr>
          <w:rFonts w:ascii="Times New Roman" w:hAnsi="Times New Roman" w:cs="Times New Roman"/>
          <w:bCs/>
          <w:sz w:val="28"/>
          <w:szCs w:val="28"/>
        </w:rPr>
        <w:t>в</w:t>
      </w:r>
      <w:r w:rsidRPr="00420C79">
        <w:rPr>
          <w:rFonts w:ascii="Times New Roman" w:hAnsi="Times New Roman" w:cs="Times New Roman"/>
          <w:bCs/>
          <w:sz w:val="28"/>
          <w:szCs w:val="28"/>
        </w:rPr>
        <w:t>клады (депозиты) в рублях мен</w:t>
      </w:r>
      <w:r>
        <w:rPr>
          <w:rFonts w:ascii="Times New Roman" w:hAnsi="Times New Roman" w:cs="Times New Roman"/>
          <w:bCs/>
          <w:sz w:val="28"/>
          <w:szCs w:val="28"/>
        </w:rPr>
        <w:t xml:space="preserve">ялись следующим образом: в промежуток с 2013 г. по 2016 г. показатель снизился на 13,2 %, а именно с 71,4 % до 58,2 %, при этом с 2016 г. по 2020 г. он вырос на 18,1 %, повышение произошло с 58,2 % до 76,3 %. </w:t>
      </w:r>
      <w:r w:rsidRPr="00420C79">
        <w:rPr>
          <w:rFonts w:ascii="Times New Roman" w:hAnsi="Times New Roman" w:cs="Times New Roman"/>
          <w:bCs/>
          <w:sz w:val="28"/>
          <w:szCs w:val="28"/>
        </w:rPr>
        <w:t xml:space="preserve">Рассматривая </w:t>
      </w:r>
      <w:r>
        <w:rPr>
          <w:rFonts w:ascii="Times New Roman" w:hAnsi="Times New Roman" w:cs="Times New Roman"/>
          <w:bCs/>
          <w:sz w:val="28"/>
          <w:szCs w:val="28"/>
        </w:rPr>
        <w:t>динамику вкладов (депозитов</w:t>
      </w:r>
      <w:r w:rsidRPr="00420C79">
        <w:rPr>
          <w:rFonts w:ascii="Times New Roman" w:hAnsi="Times New Roman" w:cs="Times New Roman"/>
          <w:bCs/>
          <w:sz w:val="28"/>
          <w:szCs w:val="28"/>
        </w:rPr>
        <w:t>) в иностранной валюте можно отметить такие изменения как: в этапе</w:t>
      </w:r>
      <w:r>
        <w:rPr>
          <w:rFonts w:ascii="Times New Roman" w:hAnsi="Times New Roman" w:cs="Times New Roman"/>
          <w:bCs/>
          <w:sz w:val="28"/>
          <w:szCs w:val="28"/>
        </w:rPr>
        <w:t xml:space="preserve"> с 2013 г. по 2016 г. показатель возрос </w:t>
      </w:r>
      <w:r>
        <w:rPr>
          <w:rFonts w:ascii="Times New Roman" w:hAnsi="Times New Roman" w:cs="Times New Roman"/>
          <w:bCs/>
          <w:sz w:val="28"/>
          <w:szCs w:val="28"/>
        </w:rPr>
        <w:lastRenderedPageBreak/>
        <w:t>на 13,2 %, в частности с 28,6 % до 41,8 %, однако с 2016 г. по 2020 г. он уменьшился на 18,1 %, понижение протекало с 41,8 % до 23,7 %.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45100" w:rsidTr="001D05C4">
        <w:trPr>
          <w:trHeight w:val="4660"/>
        </w:trPr>
        <w:tc>
          <w:tcPr>
            <w:tcW w:w="9345" w:type="dxa"/>
          </w:tcPr>
          <w:p w:rsidR="00F45100" w:rsidRDefault="00F45100" w:rsidP="00962E8F">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819775" cy="29241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F45100" w:rsidTr="00F45100">
        <w:tc>
          <w:tcPr>
            <w:tcW w:w="9345" w:type="dxa"/>
          </w:tcPr>
          <w:p w:rsidR="00F45100" w:rsidRDefault="00F45100" w:rsidP="00F45100">
            <w:pPr>
              <w:jc w:val="center"/>
              <w:rPr>
                <w:rFonts w:ascii="Times New Roman" w:hAnsi="Times New Roman" w:cs="Times New Roman"/>
                <w:bCs/>
              </w:rPr>
            </w:pPr>
            <w:r w:rsidRPr="00F45100">
              <w:rPr>
                <w:rFonts w:ascii="Times New Roman" w:hAnsi="Times New Roman" w:cs="Times New Roman"/>
                <w:bCs/>
              </w:rPr>
              <w:t xml:space="preserve">Рисунок 3 – Динамика структуры вкладов (депозитов) физических лиц в рублях </w:t>
            </w:r>
          </w:p>
          <w:p w:rsidR="00F45100" w:rsidRPr="00F45100" w:rsidRDefault="00F45100" w:rsidP="00F45100">
            <w:pPr>
              <w:jc w:val="center"/>
              <w:rPr>
                <w:rFonts w:ascii="Times New Roman" w:hAnsi="Times New Roman" w:cs="Times New Roman"/>
                <w:bCs/>
              </w:rPr>
            </w:pPr>
            <w:r w:rsidRPr="00F45100">
              <w:rPr>
                <w:rFonts w:ascii="Times New Roman" w:hAnsi="Times New Roman" w:cs="Times New Roman"/>
                <w:bCs/>
              </w:rPr>
              <w:t>по срокам привлечения на начало года</w:t>
            </w:r>
          </w:p>
        </w:tc>
      </w:tr>
    </w:tbl>
    <w:p w:rsidR="00420C79" w:rsidRDefault="00420C79" w:rsidP="00962E8F">
      <w:pPr>
        <w:spacing w:after="0" w:line="360" w:lineRule="auto"/>
        <w:ind w:firstLine="709"/>
        <w:jc w:val="both"/>
        <w:rPr>
          <w:rFonts w:ascii="Times New Roman" w:hAnsi="Times New Roman" w:cs="Times New Roman"/>
          <w:bCs/>
          <w:sz w:val="28"/>
          <w:szCs w:val="28"/>
        </w:rPr>
      </w:pPr>
    </w:p>
    <w:p w:rsidR="008A1779" w:rsidRDefault="00473CAF" w:rsidP="00473CAF">
      <w:pPr>
        <w:spacing w:after="0" w:line="360" w:lineRule="auto"/>
        <w:ind w:firstLine="709"/>
        <w:jc w:val="both"/>
        <w:rPr>
          <w:rFonts w:ascii="Times New Roman" w:hAnsi="Times New Roman" w:cs="Times New Roman"/>
          <w:bCs/>
          <w:sz w:val="28"/>
          <w:szCs w:val="28"/>
        </w:rPr>
      </w:pPr>
      <w:r w:rsidRPr="00473CAF">
        <w:rPr>
          <w:rFonts w:ascii="Times New Roman" w:hAnsi="Times New Roman" w:cs="Times New Roman"/>
          <w:bCs/>
          <w:sz w:val="28"/>
          <w:szCs w:val="28"/>
        </w:rPr>
        <w:t xml:space="preserve">Анализируя динамику структуры вкладов (депозитов) физических лиц в рублях по срокам привлечения на начало года, можно сделать следующие выводы: за исследуемый период </w:t>
      </w:r>
      <w:r w:rsidR="00A87DE8">
        <w:rPr>
          <w:rFonts w:ascii="Times New Roman" w:hAnsi="Times New Roman" w:cs="Times New Roman"/>
          <w:bCs/>
          <w:sz w:val="28"/>
          <w:szCs w:val="28"/>
        </w:rPr>
        <w:t xml:space="preserve">вклады (депозиты) на срок свыше 3 лет </w:t>
      </w:r>
      <w:r w:rsidRPr="00473CAF">
        <w:rPr>
          <w:rFonts w:ascii="Times New Roman" w:hAnsi="Times New Roman" w:cs="Times New Roman"/>
          <w:bCs/>
          <w:sz w:val="28"/>
          <w:szCs w:val="28"/>
        </w:rPr>
        <w:t>менялись следующим образом:</w:t>
      </w:r>
      <w:r w:rsidR="00A87DE8">
        <w:rPr>
          <w:rFonts w:ascii="Times New Roman" w:hAnsi="Times New Roman" w:cs="Times New Roman"/>
          <w:bCs/>
          <w:sz w:val="28"/>
          <w:szCs w:val="28"/>
        </w:rPr>
        <w:t xml:space="preserve"> в этапе с 2013 г. по </w:t>
      </w:r>
      <w:r w:rsidR="00367D1A">
        <w:rPr>
          <w:rFonts w:ascii="Times New Roman" w:hAnsi="Times New Roman" w:cs="Times New Roman"/>
          <w:bCs/>
          <w:sz w:val="28"/>
          <w:szCs w:val="28"/>
        </w:rPr>
        <w:t xml:space="preserve">2014 г. показатель возрос на 0,2 %, в частности с 7,8 % до 8 %, а с 2014 г. по 2020 г. он уменьшился на 4,3 %, понижение произошло с 8 % до 3,7 %, однако в 2019 г. замечено небольшое повышение показателя на 0,1 % в соотношении с 2018 г. и на 0,4 % в соотношении с 2020 г. </w:t>
      </w:r>
    </w:p>
    <w:p w:rsidR="001D05C4" w:rsidRDefault="00367D1A" w:rsidP="00473CA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Рассматривая изменения вкладов (депозитов) на срок от 1 года до 3 лет можно отметить: в промежуток с 2013 г. по 2014 г. показатель сократился на </w:t>
      </w:r>
      <w:r w:rsidR="008A1779">
        <w:rPr>
          <w:rFonts w:ascii="Times New Roman" w:hAnsi="Times New Roman" w:cs="Times New Roman"/>
          <w:bCs/>
          <w:sz w:val="28"/>
          <w:szCs w:val="28"/>
        </w:rPr>
        <w:t>3 %</w:t>
      </w:r>
      <w:r>
        <w:rPr>
          <w:rFonts w:ascii="Times New Roman" w:hAnsi="Times New Roman" w:cs="Times New Roman"/>
          <w:bCs/>
          <w:sz w:val="28"/>
          <w:szCs w:val="28"/>
        </w:rPr>
        <w:t xml:space="preserve">, а именно с 48,3 % до 51,3 %, при этом говоря об отрезке времени с 2014 г. по 2018 г. наблюдается его снижение на </w:t>
      </w:r>
      <w:r w:rsidR="008A1779">
        <w:rPr>
          <w:rFonts w:ascii="Times New Roman" w:hAnsi="Times New Roman" w:cs="Times New Roman"/>
          <w:bCs/>
          <w:sz w:val="28"/>
          <w:szCs w:val="28"/>
        </w:rPr>
        <w:t>19,8 %, которое произошло с 51,3 % до 31,5 %, однако в 2017 г. замечено повышение показателя на 1,8 % по сравнению с 2016 г. и на 4,2 % по сравнению с 2018 г. С 2018 г. по 2020 г. показатель увеличился на 1,1 %, в частности с 31,5 % до 32,6 %.</w:t>
      </w:r>
    </w:p>
    <w:p w:rsidR="00420C79" w:rsidRDefault="008A1779" w:rsidP="00962E8F">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При изучении тенденции изменений </w:t>
      </w:r>
      <w:r w:rsidRPr="008A1779">
        <w:rPr>
          <w:rFonts w:ascii="Times New Roman" w:hAnsi="Times New Roman" w:cs="Times New Roman"/>
          <w:bCs/>
          <w:sz w:val="28"/>
          <w:szCs w:val="28"/>
        </w:rPr>
        <w:t>вкладов (депозитов)</w:t>
      </w:r>
      <w:r>
        <w:rPr>
          <w:rFonts w:ascii="Times New Roman" w:hAnsi="Times New Roman" w:cs="Times New Roman"/>
          <w:bCs/>
          <w:sz w:val="28"/>
          <w:szCs w:val="28"/>
        </w:rPr>
        <w:t xml:space="preserve"> на срок от 181 дня до 1 года можно сказать следующее: в отрезок времени с 2013 г. по 2014 г. показатель сократился на </w:t>
      </w:r>
      <w:r w:rsidR="00EA2320">
        <w:rPr>
          <w:rFonts w:ascii="Times New Roman" w:hAnsi="Times New Roman" w:cs="Times New Roman"/>
          <w:bCs/>
          <w:sz w:val="28"/>
          <w:szCs w:val="28"/>
        </w:rPr>
        <w:t>2,5 %</w:t>
      </w:r>
      <w:r>
        <w:rPr>
          <w:rFonts w:ascii="Times New Roman" w:hAnsi="Times New Roman" w:cs="Times New Roman"/>
          <w:bCs/>
          <w:sz w:val="28"/>
          <w:szCs w:val="28"/>
        </w:rPr>
        <w:t xml:space="preserve">, а именно с 17,2 % до 14,7 %, а с 2014 г. по </w:t>
      </w:r>
      <w:r w:rsidR="00EA2320">
        <w:rPr>
          <w:rFonts w:ascii="Times New Roman" w:hAnsi="Times New Roman" w:cs="Times New Roman"/>
          <w:bCs/>
          <w:sz w:val="28"/>
          <w:szCs w:val="28"/>
        </w:rPr>
        <w:t xml:space="preserve">2016 г. он вырос на 20,5 %, повышение произошло с 14,7 % до 35,2 %. В промежуток с 2016 г. по 2018 г. показатель уменьшился на 13,4 %, в частности с 35,2 % до 21,8 %, а в период с 2018 г. по 2019 г. он вырос на 7,1 % с 21,8 % до 28,9 %. С 2019 г. по 2020 г. показатель снизился на 0,7 %, понижение протекало с 28,9 % до 28,2 %. </w:t>
      </w:r>
    </w:p>
    <w:p w:rsidR="006A7044" w:rsidRDefault="006A7044" w:rsidP="00962E8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Проведя анализ структуры вкладов (депозитов) на срок от 91 дня до 180 дней можно отметить такие изменения как: в промежуток времени с 2013 г. по </w:t>
      </w:r>
      <w:r w:rsidR="00797495">
        <w:rPr>
          <w:rFonts w:ascii="Times New Roman" w:hAnsi="Times New Roman" w:cs="Times New Roman"/>
          <w:bCs/>
          <w:sz w:val="28"/>
          <w:szCs w:val="28"/>
        </w:rPr>
        <w:t>2014 г. показатель снизился на 0,5 %, в частности с 3,8 % до 3,3 %, при этом с 2014 г. по 2015 г. он увеличился на 3 %, повышение происходило с 3,3 % до 6,3 %. В этапе с 2015 г. по 2016 г. показатель сократился на 0,7 %, а именно с 6,3 % до 5,6 %, а с 2016 г. по 2018 г. он вырос на 14,6 %, его рост протекал с 5,6 % до 20,2 %. С 2018 г. по 2020 г. показатель понизился на 12,</w:t>
      </w:r>
      <w:r w:rsidR="003F7EA5">
        <w:rPr>
          <w:rFonts w:ascii="Times New Roman" w:hAnsi="Times New Roman" w:cs="Times New Roman"/>
          <w:bCs/>
          <w:sz w:val="28"/>
          <w:szCs w:val="28"/>
        </w:rPr>
        <w:t>8 %, а именно с 20,2 % до 7,4 %.</w:t>
      </w:r>
    </w:p>
    <w:p w:rsidR="00797495" w:rsidRDefault="00D77CA1" w:rsidP="00962E8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рассмотрении динамики вкладов </w:t>
      </w:r>
      <w:r w:rsidRPr="00D77CA1">
        <w:rPr>
          <w:rFonts w:ascii="Times New Roman" w:hAnsi="Times New Roman" w:cs="Times New Roman"/>
          <w:bCs/>
          <w:sz w:val="28"/>
          <w:szCs w:val="28"/>
        </w:rPr>
        <w:t>(депозитов)</w:t>
      </w:r>
      <w:r w:rsidR="00A7391B">
        <w:rPr>
          <w:rFonts w:ascii="Times New Roman" w:hAnsi="Times New Roman" w:cs="Times New Roman"/>
          <w:bCs/>
          <w:sz w:val="28"/>
          <w:szCs w:val="28"/>
        </w:rPr>
        <w:t xml:space="preserve"> на срок от 31 до 90 дней можно сделать следующие выводы: в этапе с 2013 г. по 2015 г. показатель увеличился на 2 %, в частности с 1,8 % до 3,8 %, а с 2015 г. по 2018 г. он снизился на 2,4 %, а именно с 3,8 % до 1,4 %, однако в 2017 г. замечено возрастание показателя на 0,7 % в соотношении с 2016 г. и на 0,9 % в соотношении с 2018 г. В промежутке с 2018 г. по 2019 г. показатель вырос на 0,5 %, повышение произошло с 1,4 % до 1,9 %, при этом с 2019 г. по 2020 г. он </w:t>
      </w:r>
      <w:r w:rsidR="00E331B6">
        <w:rPr>
          <w:rFonts w:ascii="Times New Roman" w:hAnsi="Times New Roman" w:cs="Times New Roman"/>
          <w:bCs/>
          <w:sz w:val="28"/>
          <w:szCs w:val="28"/>
        </w:rPr>
        <w:t xml:space="preserve">уменьшился на 0,6 %, а именно с 1,9 % до </w:t>
      </w:r>
      <w:r w:rsidR="00A7391B">
        <w:rPr>
          <w:rFonts w:ascii="Times New Roman" w:hAnsi="Times New Roman" w:cs="Times New Roman"/>
          <w:bCs/>
          <w:sz w:val="28"/>
          <w:szCs w:val="28"/>
        </w:rPr>
        <w:t>1,3 %</w:t>
      </w:r>
      <w:r w:rsidR="00E331B6">
        <w:rPr>
          <w:rFonts w:ascii="Times New Roman" w:hAnsi="Times New Roman" w:cs="Times New Roman"/>
          <w:bCs/>
          <w:sz w:val="28"/>
          <w:szCs w:val="28"/>
        </w:rPr>
        <w:t>.</w:t>
      </w:r>
    </w:p>
    <w:p w:rsidR="00671DCE" w:rsidRDefault="00671DCE" w:rsidP="00962E8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исследовании структуры вкладов (депозитов) на срок до 30 дней можно отметить такие изменения как: в период с 2013 г. по 2014 г. показатель увеличился на 0,1 %, в частности с 0,2 % до 0,3 %, а с 2014 г. по 2016 г. он сократился на 0,1 %, понижение произошло с 0,3 % до 0,2 %. В этапе с 2016 г. по 2020 г. показатель вырос на 0,1 %, а именно с 0,2 % до 0,3 %.</w:t>
      </w:r>
    </w:p>
    <w:p w:rsidR="00671DCE" w:rsidRDefault="00671DCE" w:rsidP="00962E8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Изучая динамику изменений вкладов (депозитов) до востребования можно отметить следующие изменения: в отрезок времени с 2013 г. по 2017 г. показатель снизился на 1,8 %, понижение наблюдается с 20,8 % до 19 %, при этом с 2017 г. по 2020 г. он повысился на 7,5 %, а именно с 19 % до 26,5 %.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51424" w:rsidTr="00DD75B0">
        <w:trPr>
          <w:trHeight w:val="4660"/>
        </w:trPr>
        <w:tc>
          <w:tcPr>
            <w:tcW w:w="9345" w:type="dxa"/>
          </w:tcPr>
          <w:p w:rsidR="00B51424" w:rsidRDefault="00B51424" w:rsidP="00DD75B0">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1CA07AA9" wp14:editId="538E78B7">
                  <wp:extent cx="5819775" cy="29241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B51424" w:rsidTr="00DD75B0">
        <w:tc>
          <w:tcPr>
            <w:tcW w:w="9345" w:type="dxa"/>
          </w:tcPr>
          <w:p w:rsidR="00B51424" w:rsidRDefault="00B51424" w:rsidP="00DD75B0">
            <w:pPr>
              <w:jc w:val="center"/>
              <w:rPr>
                <w:rFonts w:ascii="Times New Roman" w:hAnsi="Times New Roman" w:cs="Times New Roman"/>
                <w:bCs/>
              </w:rPr>
            </w:pPr>
            <w:r>
              <w:rPr>
                <w:rFonts w:ascii="Times New Roman" w:hAnsi="Times New Roman" w:cs="Times New Roman"/>
                <w:bCs/>
              </w:rPr>
              <w:t>Рисунок 4</w:t>
            </w:r>
            <w:r w:rsidRPr="00F45100">
              <w:rPr>
                <w:rFonts w:ascii="Times New Roman" w:hAnsi="Times New Roman" w:cs="Times New Roman"/>
                <w:bCs/>
              </w:rPr>
              <w:t xml:space="preserve"> – Динамика </w:t>
            </w:r>
            <w:r>
              <w:rPr>
                <w:rFonts w:ascii="Times New Roman" w:hAnsi="Times New Roman" w:cs="Times New Roman"/>
                <w:bCs/>
              </w:rPr>
              <w:t>структуры</w:t>
            </w:r>
            <w:r w:rsidRPr="00B51424">
              <w:rPr>
                <w:rFonts w:ascii="Times New Roman" w:hAnsi="Times New Roman" w:cs="Times New Roman"/>
                <w:bCs/>
              </w:rPr>
              <w:t xml:space="preserve"> вкладов (депозитов) физических лиц в иностранной валюте </w:t>
            </w:r>
          </w:p>
          <w:p w:rsidR="00B51424" w:rsidRPr="00F45100" w:rsidRDefault="00B51424" w:rsidP="00DD75B0">
            <w:pPr>
              <w:jc w:val="center"/>
              <w:rPr>
                <w:rFonts w:ascii="Times New Roman" w:hAnsi="Times New Roman" w:cs="Times New Roman"/>
                <w:bCs/>
              </w:rPr>
            </w:pPr>
            <w:r w:rsidRPr="00B51424">
              <w:rPr>
                <w:rFonts w:ascii="Times New Roman" w:hAnsi="Times New Roman" w:cs="Times New Roman"/>
                <w:bCs/>
              </w:rPr>
              <w:t>по срокам привлечения на начало года</w:t>
            </w:r>
          </w:p>
        </w:tc>
      </w:tr>
    </w:tbl>
    <w:p w:rsidR="00C91647" w:rsidRDefault="00C91647" w:rsidP="00962E8F">
      <w:pPr>
        <w:spacing w:after="0" w:line="360" w:lineRule="auto"/>
        <w:ind w:firstLine="709"/>
        <w:jc w:val="both"/>
        <w:rPr>
          <w:rFonts w:ascii="Times New Roman" w:hAnsi="Times New Roman" w:cs="Times New Roman"/>
          <w:sz w:val="28"/>
          <w:szCs w:val="28"/>
        </w:rPr>
      </w:pPr>
    </w:p>
    <w:p w:rsidR="006C6A03" w:rsidRDefault="006C6A03" w:rsidP="00962E8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Анализируя тенденцию изменений</w:t>
      </w:r>
      <w:r w:rsidRPr="006C6A03">
        <w:rPr>
          <w:rFonts w:ascii="Times New Roman" w:hAnsi="Times New Roman" w:cs="Times New Roman"/>
          <w:bCs/>
          <w:sz w:val="28"/>
          <w:szCs w:val="28"/>
        </w:rPr>
        <w:t xml:space="preserve"> вкладов (депозитов) физических лиц в иностранной валюте по срокам привлечения на начало года, можно сделать следующие выводы: за исследуемый период вклады (депозиты) на срок свыше 3 лет менялись следующим образом: в этапе с 2013 г. по 2014 г. показатель возрос на </w:t>
      </w:r>
      <w:r>
        <w:rPr>
          <w:rFonts w:ascii="Times New Roman" w:hAnsi="Times New Roman" w:cs="Times New Roman"/>
          <w:bCs/>
          <w:sz w:val="28"/>
          <w:szCs w:val="28"/>
        </w:rPr>
        <w:t>1,2 %, в частности с 12,7 % до 13,9 %, при этом в промежуток с 2014 г. по 2016 г. он сократился на 9 %, понижение наблюдается с 13,9 % до 4,9 %. В отрезок времени с 2016 г. по 2019 г. показатель вырос на 5,4 %, а именно с 4,9 % до 10,3 %, а с 2019 г. по 2020 г. сократился на 0,5 % с 10,3 % до 9,8 %.</w:t>
      </w:r>
    </w:p>
    <w:p w:rsidR="00F50922" w:rsidRDefault="00F50922" w:rsidP="00962E8F">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Рассмотрев динамику вкладов (депозитов) на срок от 1 года до 3 лет, можно сказать следующее: в промежуток времени с 2013 г. по </w:t>
      </w:r>
      <w:r w:rsidR="002C0721">
        <w:rPr>
          <w:rFonts w:ascii="Times New Roman" w:hAnsi="Times New Roman" w:cs="Times New Roman"/>
          <w:bCs/>
          <w:sz w:val="28"/>
          <w:szCs w:val="28"/>
        </w:rPr>
        <w:t xml:space="preserve">2014 г. показатель увеличился на 1 %, повышение произошло с 59 % до 60 %, а с 2014 г. по 2016 г. он снизился на 8,9 %, а именно с 60 % до 51,1 %. В этапе с 2016 г. по 2017 г. показатель возрос на 10,7 %, в частности с 51,1 % до 61,8 %, </w:t>
      </w:r>
      <w:r w:rsidR="002C0721">
        <w:rPr>
          <w:rFonts w:ascii="Times New Roman" w:hAnsi="Times New Roman" w:cs="Times New Roman"/>
          <w:bCs/>
          <w:sz w:val="28"/>
          <w:szCs w:val="28"/>
        </w:rPr>
        <w:lastRenderedPageBreak/>
        <w:t>при этом с 2017 г. по 2019 г. он уменьшился на 20,1 %, понижение отмечено с 61,8 % до 41,7 %. В отрезке с 2019 г. по 2020 г. показатель повысился на 6,4 %, а именно с 41,7 % до 48,1 %.</w:t>
      </w:r>
    </w:p>
    <w:p w:rsidR="006C6A03" w:rsidRDefault="00EA40C1" w:rsidP="00962E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изменений вкладов (депозитов) на срок от 181 дня до 1 года можно сделать такие выводы как: в этапе с 2013 г. по 2014 г. показатель снизился на</w:t>
      </w:r>
      <w:r w:rsidR="001F1849">
        <w:rPr>
          <w:rFonts w:ascii="Times New Roman" w:hAnsi="Times New Roman" w:cs="Times New Roman"/>
          <w:sz w:val="28"/>
          <w:szCs w:val="28"/>
        </w:rPr>
        <w:t xml:space="preserve"> 1,8 %</w:t>
      </w:r>
      <w:r>
        <w:rPr>
          <w:rFonts w:ascii="Times New Roman" w:hAnsi="Times New Roman" w:cs="Times New Roman"/>
          <w:sz w:val="28"/>
          <w:szCs w:val="28"/>
        </w:rPr>
        <w:t>, понижение протекало с 14,9 %</w:t>
      </w:r>
      <w:r w:rsidR="00291C14">
        <w:rPr>
          <w:rFonts w:ascii="Times New Roman" w:hAnsi="Times New Roman" w:cs="Times New Roman"/>
          <w:sz w:val="28"/>
          <w:szCs w:val="28"/>
        </w:rPr>
        <w:t xml:space="preserve"> до 13,1 %, а с 2014 г. по 2016 </w:t>
      </w:r>
      <w:r>
        <w:rPr>
          <w:rFonts w:ascii="Times New Roman" w:hAnsi="Times New Roman" w:cs="Times New Roman"/>
          <w:sz w:val="28"/>
          <w:szCs w:val="28"/>
        </w:rPr>
        <w:t xml:space="preserve">г. </w:t>
      </w:r>
      <w:r w:rsidR="00291C14">
        <w:rPr>
          <w:rFonts w:ascii="Times New Roman" w:hAnsi="Times New Roman" w:cs="Times New Roman"/>
          <w:sz w:val="28"/>
          <w:szCs w:val="28"/>
        </w:rPr>
        <w:t xml:space="preserve">он вырос на 25 %, в частности с 13,1 % до </w:t>
      </w:r>
      <w:r>
        <w:rPr>
          <w:rFonts w:ascii="Times New Roman" w:hAnsi="Times New Roman" w:cs="Times New Roman"/>
          <w:sz w:val="28"/>
          <w:szCs w:val="28"/>
        </w:rPr>
        <w:t>38,1 %</w:t>
      </w:r>
      <w:r w:rsidR="00291C14">
        <w:rPr>
          <w:rFonts w:ascii="Times New Roman" w:hAnsi="Times New Roman" w:cs="Times New Roman"/>
          <w:sz w:val="28"/>
          <w:szCs w:val="28"/>
        </w:rPr>
        <w:t>. Говоря об отрезке времени с 2014 г. по</w:t>
      </w:r>
      <w:r w:rsidR="001F1849">
        <w:rPr>
          <w:rFonts w:ascii="Times New Roman" w:hAnsi="Times New Roman" w:cs="Times New Roman"/>
          <w:sz w:val="28"/>
          <w:szCs w:val="28"/>
        </w:rPr>
        <w:t xml:space="preserve"> </w:t>
      </w:r>
      <w:r w:rsidR="00291C14">
        <w:rPr>
          <w:rFonts w:ascii="Times New Roman" w:hAnsi="Times New Roman" w:cs="Times New Roman"/>
          <w:sz w:val="28"/>
          <w:szCs w:val="28"/>
        </w:rPr>
        <w:t xml:space="preserve">2018 г. замечено сокращение данного показателя на 23,4 %, а именно с 38,1 % до 14,7 %, а в промежуток с 2018 г. по </w:t>
      </w:r>
      <w:r w:rsidR="00AF0509">
        <w:rPr>
          <w:rFonts w:ascii="Times New Roman" w:hAnsi="Times New Roman" w:cs="Times New Roman"/>
          <w:sz w:val="28"/>
          <w:szCs w:val="28"/>
        </w:rPr>
        <w:t>2019 г. он увеличился на 9,5 % с 14,7 % до 24,2 %, при этом с 2019 г. по 2020 г. наблюдается его спад на 8,2 %, в частности с 24,2 % до 16 %.</w:t>
      </w:r>
    </w:p>
    <w:p w:rsidR="00AF0509" w:rsidRDefault="00AF0509" w:rsidP="00962E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w:t>
      </w:r>
      <w:r w:rsidR="00904A5B">
        <w:rPr>
          <w:rFonts w:ascii="Times New Roman" w:hAnsi="Times New Roman" w:cs="Times New Roman"/>
          <w:sz w:val="28"/>
          <w:szCs w:val="28"/>
        </w:rPr>
        <w:t>динамику изменений вкладов (депозитов) на срок на срок от 91 дня до 180 дней можно отметить следующее: в период с 2013 г. по 2014 г. показатель уменьшился на 0,3 %, а именно с 2,3 % до 2 %, а с 2014 г. по 2015 г. вырос на 2 %, повышение произошло с 2 % до 4 %. В промежуток с 2015 г. по 2020 г. показатель сократился на 2,7 %, в частности с 4 % 1,4 %.</w:t>
      </w:r>
    </w:p>
    <w:p w:rsidR="00904A5B" w:rsidRDefault="00904A5B" w:rsidP="00962E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анализа вкладов (депозитов) на срок 31 дня до 90 дней можно отметить такие изменения как: в этапе с 2013 г. по</w:t>
      </w:r>
      <w:r w:rsidR="00F80C9F">
        <w:rPr>
          <w:rFonts w:ascii="Times New Roman" w:hAnsi="Times New Roman" w:cs="Times New Roman"/>
          <w:sz w:val="28"/>
          <w:szCs w:val="28"/>
        </w:rPr>
        <w:t xml:space="preserve"> 2014 г. показатель снизился на 0,1 %, а именно с</w:t>
      </w:r>
      <w:r>
        <w:rPr>
          <w:rFonts w:ascii="Times New Roman" w:hAnsi="Times New Roman" w:cs="Times New Roman"/>
          <w:sz w:val="28"/>
          <w:szCs w:val="28"/>
        </w:rPr>
        <w:t xml:space="preserve"> </w:t>
      </w:r>
      <w:r w:rsidR="00F80C9F">
        <w:rPr>
          <w:rFonts w:ascii="Times New Roman" w:hAnsi="Times New Roman" w:cs="Times New Roman"/>
          <w:sz w:val="28"/>
          <w:szCs w:val="28"/>
        </w:rPr>
        <w:t>1 % до 0,9 %, при этом с 2014 г. по 2015 г. он возрос на 1</w:t>
      </w:r>
      <w:r w:rsidR="00840ABB">
        <w:rPr>
          <w:rFonts w:ascii="Times New Roman" w:hAnsi="Times New Roman" w:cs="Times New Roman"/>
          <w:sz w:val="28"/>
          <w:szCs w:val="28"/>
        </w:rPr>
        <w:t>,2 %, повышение отмечено с 0,9 %</w:t>
      </w:r>
      <w:r w:rsidR="00F80C9F">
        <w:rPr>
          <w:rFonts w:ascii="Times New Roman" w:hAnsi="Times New Roman" w:cs="Times New Roman"/>
          <w:sz w:val="28"/>
          <w:szCs w:val="28"/>
        </w:rPr>
        <w:t xml:space="preserve"> до 2,1 %. С 2015 г. по </w:t>
      </w:r>
      <w:r w:rsidR="00840ABB">
        <w:rPr>
          <w:rFonts w:ascii="Times New Roman" w:hAnsi="Times New Roman" w:cs="Times New Roman"/>
          <w:sz w:val="28"/>
          <w:szCs w:val="28"/>
        </w:rPr>
        <w:t>2020 г. показатель понизился на 1,8 %, в частности с 2,1 % до 0,3 %, однако в 2019 г. замечено его небольшое повышение на 0,2 % по сравнению с 2018 г. и на 0,2 5 по сравнению с 2020 г.</w:t>
      </w:r>
    </w:p>
    <w:p w:rsidR="00840ABB" w:rsidRDefault="00840ABB" w:rsidP="00962E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динамики вкладов (депозитов) на срок до 30 дней можно сказать о том, что в течение всего периода показатель составлял 0,1 %, за исключением 2017 г., здесь наблюдалось его повышение на 0,1 % и он составил 0,2 %.</w:t>
      </w:r>
    </w:p>
    <w:p w:rsidR="00840ABB" w:rsidRDefault="00840ABB" w:rsidP="00962E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изменения вкладов (депозитов) до востребования можно отметить следующее: в промежуток с 2013 г. по 2015 г. показатель вырос на 1,3 %, в частности с 9,9 % до 11,2 %, а с 2015 г. по 2016 г. он снизился на 1,5</w:t>
      </w:r>
      <w:r w:rsidR="006102CC">
        <w:rPr>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понижение отмечено с 11,2 % до 9,7 %. В этапе с 2015 г. по </w:t>
      </w:r>
      <w:r w:rsidR="00DC05F9">
        <w:rPr>
          <w:rFonts w:ascii="Times New Roman" w:hAnsi="Times New Roman" w:cs="Times New Roman"/>
          <w:sz w:val="28"/>
          <w:szCs w:val="28"/>
        </w:rPr>
        <w:t>2020 г. показатель увеличился на 14,5 %, а именно с 9,7 % до 24,2 %.</w:t>
      </w:r>
    </w:p>
    <w:p w:rsidR="00BD2C63" w:rsidRPr="00BD2C63" w:rsidRDefault="00BD2C63" w:rsidP="00BD2C63">
      <w:pPr>
        <w:spacing w:after="0" w:line="360" w:lineRule="auto"/>
        <w:ind w:firstLine="709"/>
        <w:jc w:val="both"/>
        <w:rPr>
          <w:rFonts w:ascii="Times New Roman" w:hAnsi="Times New Roman" w:cs="Times New Roman"/>
          <w:sz w:val="28"/>
          <w:szCs w:val="28"/>
        </w:rPr>
      </w:pPr>
      <w:r w:rsidRPr="00BD2C63">
        <w:rPr>
          <w:rFonts w:ascii="Times New Roman" w:hAnsi="Times New Roman" w:cs="Times New Roman"/>
          <w:sz w:val="28"/>
          <w:szCs w:val="28"/>
        </w:rPr>
        <w:t>Вклады (депозиты) населения в банках являются главной формой сбережений населения с точки зрения возможности их привлечения для финансирования экономики.</w:t>
      </w:r>
    </w:p>
    <w:p w:rsidR="00BD2C63" w:rsidRDefault="00BD2C63" w:rsidP="00D33E9E">
      <w:pPr>
        <w:spacing w:after="0" w:line="360" w:lineRule="auto"/>
        <w:ind w:firstLine="709"/>
        <w:jc w:val="both"/>
        <w:rPr>
          <w:rFonts w:ascii="Times New Roman" w:hAnsi="Times New Roman" w:cs="Times New Roman"/>
          <w:sz w:val="28"/>
          <w:szCs w:val="28"/>
        </w:rPr>
      </w:pPr>
      <w:r w:rsidRPr="00BD2C63">
        <w:rPr>
          <w:rFonts w:ascii="Times New Roman" w:hAnsi="Times New Roman" w:cs="Times New Roman"/>
          <w:sz w:val="28"/>
          <w:szCs w:val="28"/>
        </w:rPr>
        <w:t>Процесс привлечения сбережений населения в банковскую систему характеризуется совокупностью факторов, включая темпы роста реального валового продукта и реальных денежных доходов населения, уровень инфляции и связанные с ним значения реальных процентных ставок, степень доходности и надежности вложений в альтернативные формы сбережений, прежде всего, в иностранную валюту, наличие правовых гарантий сохранности и защиты от обесценения вкладов, спектр оказываемых населению банковских услуг.</w:t>
      </w:r>
    </w:p>
    <w:p w:rsidR="00D33E9E" w:rsidRDefault="00D33E9E" w:rsidP="00397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2020 г. с</w:t>
      </w:r>
      <w:r w:rsidRPr="00D33E9E">
        <w:rPr>
          <w:rFonts w:ascii="Times New Roman" w:hAnsi="Times New Roman" w:cs="Times New Roman"/>
          <w:sz w:val="28"/>
          <w:szCs w:val="28"/>
        </w:rPr>
        <w:t xml:space="preserve">тавки по депозитам в России уже </w:t>
      </w:r>
      <w:r>
        <w:rPr>
          <w:rFonts w:ascii="Times New Roman" w:hAnsi="Times New Roman" w:cs="Times New Roman"/>
          <w:sz w:val="28"/>
          <w:szCs w:val="28"/>
        </w:rPr>
        <w:t>вернулись к росту, сообщал ЦБ, в</w:t>
      </w:r>
      <w:r w:rsidRPr="00D33E9E">
        <w:rPr>
          <w:rFonts w:ascii="Times New Roman" w:hAnsi="Times New Roman" w:cs="Times New Roman"/>
          <w:sz w:val="28"/>
          <w:szCs w:val="28"/>
        </w:rPr>
        <w:t xml:space="preserve"> третьей декаде марта средневзвешенная максимальная ставка по вкладам в десяти крупнейших банках выросла до 5,38</w:t>
      </w:r>
      <w:r>
        <w:rPr>
          <w:rFonts w:ascii="Times New Roman" w:hAnsi="Times New Roman" w:cs="Times New Roman"/>
          <w:sz w:val="28"/>
          <w:szCs w:val="28"/>
        </w:rPr>
        <w:t xml:space="preserve"> </w:t>
      </w:r>
      <w:r w:rsidRPr="00D33E9E">
        <w:rPr>
          <w:rFonts w:ascii="Times New Roman" w:hAnsi="Times New Roman" w:cs="Times New Roman"/>
          <w:sz w:val="28"/>
          <w:szCs w:val="28"/>
        </w:rPr>
        <w:t>% против 5,15</w:t>
      </w:r>
      <w:r>
        <w:rPr>
          <w:rFonts w:ascii="Times New Roman" w:hAnsi="Times New Roman" w:cs="Times New Roman"/>
          <w:sz w:val="28"/>
          <w:szCs w:val="28"/>
        </w:rPr>
        <w:t xml:space="preserve"> </w:t>
      </w:r>
      <w:r w:rsidRPr="00D33E9E">
        <w:rPr>
          <w:rFonts w:ascii="Times New Roman" w:hAnsi="Times New Roman" w:cs="Times New Roman"/>
          <w:sz w:val="28"/>
          <w:szCs w:val="28"/>
        </w:rPr>
        <w:t>% в начале и середине месяца. До этого доходности по депозитам в течение нескольких месяцев обновляли исторический минимум.</w:t>
      </w:r>
      <w:r w:rsidR="00397704">
        <w:rPr>
          <w:rFonts w:ascii="Times New Roman" w:hAnsi="Times New Roman" w:cs="Times New Roman"/>
          <w:sz w:val="28"/>
          <w:szCs w:val="28"/>
        </w:rPr>
        <w:t xml:space="preserve"> </w:t>
      </w:r>
      <w:r w:rsidRPr="00D33E9E">
        <w:rPr>
          <w:rFonts w:ascii="Times New Roman" w:hAnsi="Times New Roman" w:cs="Times New Roman"/>
          <w:sz w:val="28"/>
          <w:szCs w:val="28"/>
        </w:rPr>
        <w:t xml:space="preserve">Кредитные организации начали повышать ставки по вкладам с 12 марта, спустя несколько дней после обвала цен на нефть и ослабления рубля, следует из данных </w:t>
      </w:r>
      <w:proofErr w:type="spellStart"/>
      <w:r w:rsidRPr="00D33E9E">
        <w:rPr>
          <w:rFonts w:ascii="Times New Roman" w:hAnsi="Times New Roman" w:cs="Times New Roman"/>
          <w:sz w:val="28"/>
          <w:szCs w:val="28"/>
        </w:rPr>
        <w:t>Frank</w:t>
      </w:r>
      <w:proofErr w:type="spellEnd"/>
      <w:r w:rsidRPr="00D33E9E">
        <w:rPr>
          <w:rFonts w:ascii="Times New Roman" w:hAnsi="Times New Roman" w:cs="Times New Roman"/>
          <w:sz w:val="28"/>
          <w:szCs w:val="28"/>
        </w:rPr>
        <w:t xml:space="preserve"> RG.</w:t>
      </w:r>
    </w:p>
    <w:p w:rsidR="00D33E9E" w:rsidRDefault="00D33E9E" w:rsidP="00D33E9E">
      <w:pPr>
        <w:spacing w:after="0" w:line="360" w:lineRule="auto"/>
        <w:ind w:firstLine="709"/>
        <w:jc w:val="both"/>
        <w:rPr>
          <w:rFonts w:ascii="Times New Roman" w:hAnsi="Times New Roman" w:cs="Times New Roman"/>
          <w:sz w:val="28"/>
          <w:szCs w:val="28"/>
        </w:rPr>
      </w:pPr>
      <w:r w:rsidRPr="00D33E9E">
        <w:rPr>
          <w:rFonts w:ascii="Times New Roman" w:hAnsi="Times New Roman" w:cs="Times New Roman"/>
          <w:sz w:val="28"/>
          <w:szCs w:val="28"/>
        </w:rPr>
        <w:t xml:space="preserve">Второй фактор, влияющий </w:t>
      </w:r>
      <w:r>
        <w:rPr>
          <w:rFonts w:ascii="Times New Roman" w:hAnsi="Times New Roman" w:cs="Times New Roman"/>
          <w:sz w:val="28"/>
          <w:szCs w:val="28"/>
        </w:rPr>
        <w:t>на динамику процентных ставок,</w:t>
      </w:r>
      <w:r w:rsidRPr="00D33E9E">
        <w:rPr>
          <w:rFonts w:ascii="Times New Roman" w:hAnsi="Times New Roman" w:cs="Times New Roman"/>
          <w:sz w:val="28"/>
          <w:szCs w:val="28"/>
        </w:rPr>
        <w:t xml:space="preserve"> ситуация с </w:t>
      </w:r>
      <w:r>
        <w:rPr>
          <w:rFonts w:ascii="Times New Roman" w:hAnsi="Times New Roman" w:cs="Times New Roman"/>
          <w:sz w:val="28"/>
          <w:szCs w:val="28"/>
        </w:rPr>
        <w:t>рублевой ликвидностью в банках, в</w:t>
      </w:r>
      <w:r w:rsidRPr="00D33E9E">
        <w:rPr>
          <w:rFonts w:ascii="Times New Roman" w:hAnsi="Times New Roman" w:cs="Times New Roman"/>
          <w:sz w:val="28"/>
          <w:szCs w:val="28"/>
        </w:rPr>
        <w:t xml:space="preserve"> марте </w:t>
      </w:r>
      <w:r>
        <w:rPr>
          <w:rFonts w:ascii="Times New Roman" w:hAnsi="Times New Roman" w:cs="Times New Roman"/>
          <w:sz w:val="28"/>
          <w:szCs w:val="28"/>
        </w:rPr>
        <w:t xml:space="preserve">2020 г. </w:t>
      </w:r>
      <w:r w:rsidRPr="00D33E9E">
        <w:rPr>
          <w:rFonts w:ascii="Times New Roman" w:hAnsi="Times New Roman" w:cs="Times New Roman"/>
          <w:sz w:val="28"/>
          <w:szCs w:val="28"/>
        </w:rPr>
        <w:t>ЦБ зафиксировал кратковременный отток средств вкладчиков из банков: в период с 15 по 25 марта он составил около 2</w:t>
      </w:r>
      <w:r>
        <w:rPr>
          <w:rFonts w:ascii="Times New Roman" w:hAnsi="Times New Roman" w:cs="Times New Roman"/>
          <w:sz w:val="28"/>
          <w:szCs w:val="28"/>
        </w:rPr>
        <w:t xml:space="preserve"> </w:t>
      </w:r>
      <w:r w:rsidRPr="00D33E9E">
        <w:rPr>
          <w:rFonts w:ascii="Times New Roman" w:hAnsi="Times New Roman" w:cs="Times New Roman"/>
          <w:sz w:val="28"/>
          <w:szCs w:val="28"/>
        </w:rPr>
        <w:t>%, но по</w:t>
      </w:r>
      <w:r>
        <w:rPr>
          <w:rFonts w:ascii="Times New Roman" w:hAnsi="Times New Roman" w:cs="Times New Roman"/>
          <w:sz w:val="28"/>
          <w:szCs w:val="28"/>
        </w:rPr>
        <w:t xml:space="preserve">зднее ситуация нормализовалась, </w:t>
      </w:r>
      <w:r w:rsidRPr="00D33E9E">
        <w:rPr>
          <w:rFonts w:ascii="Times New Roman" w:hAnsi="Times New Roman" w:cs="Times New Roman"/>
          <w:sz w:val="28"/>
          <w:szCs w:val="28"/>
        </w:rPr>
        <w:t>ЦБ не называл факторы, которые могли</w:t>
      </w:r>
      <w:r w:rsidR="00397704">
        <w:rPr>
          <w:rFonts w:ascii="Times New Roman" w:hAnsi="Times New Roman" w:cs="Times New Roman"/>
          <w:sz w:val="28"/>
          <w:szCs w:val="28"/>
        </w:rPr>
        <w:t xml:space="preserve"> повлиять на поведение клиентов</w:t>
      </w:r>
      <w:r w:rsidRPr="00D33E9E">
        <w:rPr>
          <w:rFonts w:ascii="Times New Roman" w:hAnsi="Times New Roman" w:cs="Times New Roman"/>
          <w:sz w:val="28"/>
          <w:szCs w:val="28"/>
        </w:rPr>
        <w:t xml:space="preserve"> </w:t>
      </w:r>
      <w:r w:rsidR="00397704">
        <w:rPr>
          <w:rFonts w:ascii="Times New Roman" w:hAnsi="Times New Roman" w:cs="Times New Roman"/>
          <w:bCs/>
          <w:sz w:val="28"/>
          <w:szCs w:val="28"/>
          <w:lang w:bidi="ru-RU"/>
        </w:rPr>
        <w:t>[1</w:t>
      </w:r>
      <w:r w:rsidR="00397704" w:rsidRPr="00397704">
        <w:rPr>
          <w:rFonts w:ascii="Times New Roman" w:hAnsi="Times New Roman" w:cs="Times New Roman"/>
          <w:bCs/>
          <w:sz w:val="28"/>
          <w:szCs w:val="28"/>
          <w:lang w:bidi="ru-RU"/>
        </w:rPr>
        <w:t>]</w:t>
      </w:r>
      <w:r w:rsidR="00397704" w:rsidRPr="00397704">
        <w:rPr>
          <w:rFonts w:ascii="Times New Roman" w:hAnsi="Times New Roman" w:cs="Times New Roman"/>
          <w:bCs/>
          <w:sz w:val="28"/>
          <w:szCs w:val="28"/>
        </w:rPr>
        <w:t>.</w:t>
      </w:r>
    </w:p>
    <w:p w:rsidR="00D33E9E" w:rsidRDefault="00D33E9E" w:rsidP="00D33E9E">
      <w:pPr>
        <w:spacing w:after="0" w:line="360" w:lineRule="auto"/>
        <w:ind w:firstLine="709"/>
        <w:jc w:val="both"/>
        <w:rPr>
          <w:rFonts w:ascii="Times New Roman" w:hAnsi="Times New Roman" w:cs="Times New Roman"/>
          <w:sz w:val="28"/>
          <w:szCs w:val="28"/>
        </w:rPr>
      </w:pPr>
      <w:r w:rsidRPr="00D33E9E">
        <w:rPr>
          <w:rFonts w:ascii="Times New Roman" w:hAnsi="Times New Roman" w:cs="Times New Roman"/>
          <w:sz w:val="28"/>
          <w:szCs w:val="28"/>
        </w:rPr>
        <w:t xml:space="preserve">Значительное влияние на уровень сбережений оказывают социально-психологические аспекты поведения населения, вызванные, например, инфляционными ожиданиями. В настоящее время активизация процесса привлечения сбережений населения в банковскую систему характеризуется следующим: увеличением вкладов населения в общем объеме привлеченных </w:t>
      </w:r>
      <w:r w:rsidRPr="00D33E9E">
        <w:rPr>
          <w:rFonts w:ascii="Times New Roman" w:hAnsi="Times New Roman" w:cs="Times New Roman"/>
          <w:sz w:val="28"/>
          <w:szCs w:val="28"/>
        </w:rPr>
        <w:lastRenderedPageBreak/>
        <w:t>ресурсов банковской системы и обеспечением положительной доходности по ним, предоставлением гарантии возврата вложенных средств населения в коммерческие банки.</w:t>
      </w:r>
    </w:p>
    <w:p w:rsidR="00D33E9E" w:rsidRPr="00D33E9E" w:rsidRDefault="00D33E9E" w:rsidP="00D33E9E">
      <w:pPr>
        <w:spacing w:after="0" w:line="360" w:lineRule="auto"/>
        <w:ind w:firstLine="709"/>
        <w:jc w:val="center"/>
        <w:rPr>
          <w:rFonts w:ascii="Times New Roman" w:eastAsia="Times New Roman" w:hAnsi="Times New Roman" w:cs="Times New Roman"/>
          <w:b/>
          <w:bCs/>
          <w:sz w:val="28"/>
          <w:szCs w:val="28"/>
          <w:lang w:eastAsia="ru-RU" w:bidi="ru-RU"/>
        </w:rPr>
      </w:pPr>
      <w:r w:rsidRPr="00D33E9E">
        <w:rPr>
          <w:rFonts w:ascii="Times New Roman" w:eastAsia="Times New Roman" w:hAnsi="Times New Roman" w:cs="Times New Roman"/>
          <w:b/>
          <w:bCs/>
          <w:sz w:val="28"/>
          <w:szCs w:val="28"/>
          <w:lang w:eastAsia="ru-RU" w:bidi="ru-RU"/>
        </w:rPr>
        <w:t>СПИСОК ИСПОЛЬЗОВАННЫХ ИСТОЧНИКОВ</w:t>
      </w:r>
    </w:p>
    <w:p w:rsidR="00D33E9E" w:rsidRPr="00D33E9E" w:rsidRDefault="00397704" w:rsidP="00D33E9E">
      <w:pPr>
        <w:numPr>
          <w:ilvl w:val="0"/>
          <w:numId w:val="1"/>
        </w:numPr>
        <w:spacing w:after="0" w:line="360" w:lineRule="auto"/>
        <w:ind w:firstLine="709"/>
        <w:jc w:val="both"/>
        <w:rPr>
          <w:rFonts w:ascii="Times New Roman" w:hAnsi="Times New Roman" w:cs="Times New Roman"/>
          <w:bCs/>
          <w:sz w:val="28"/>
          <w:szCs w:val="28"/>
          <w:lang w:bidi="ru-RU"/>
        </w:rPr>
      </w:pPr>
      <w:r w:rsidRPr="00397704">
        <w:rPr>
          <w:rFonts w:ascii="Times New Roman" w:hAnsi="Times New Roman" w:cs="Times New Roman"/>
          <w:bCs/>
          <w:sz w:val="28"/>
          <w:szCs w:val="28"/>
          <w:lang w:bidi="ru-RU"/>
        </w:rPr>
        <w:t>Аналитики спрогнозировали рост ставок по вкладам</w:t>
      </w:r>
      <w:r>
        <w:rPr>
          <w:rFonts w:ascii="Times New Roman" w:hAnsi="Times New Roman" w:cs="Times New Roman"/>
          <w:bCs/>
          <w:sz w:val="28"/>
          <w:szCs w:val="28"/>
          <w:lang w:bidi="ru-RU"/>
        </w:rPr>
        <w:t xml:space="preserve"> </w:t>
      </w:r>
      <w:r w:rsidR="00D33E9E" w:rsidRPr="00D33E9E">
        <w:rPr>
          <w:rFonts w:ascii="Calibri" w:eastAsia="Calibri" w:hAnsi="Calibri" w:cs="Times New Roman"/>
          <w:bCs/>
          <w:iCs/>
          <w:lang w:bidi="ru-RU"/>
        </w:rPr>
        <w:t xml:space="preserve">// </w:t>
      </w:r>
      <w:proofErr w:type="spellStart"/>
      <w:proofErr w:type="gramStart"/>
      <w:r w:rsidRPr="00397704">
        <w:rPr>
          <w:rFonts w:ascii="Times New Roman" w:eastAsia="Calibri" w:hAnsi="Times New Roman" w:cs="Times New Roman"/>
          <w:bCs/>
          <w:iCs/>
          <w:sz w:val="28"/>
          <w:szCs w:val="28"/>
          <w:lang w:bidi="ru-RU"/>
        </w:rPr>
        <w:t>РосБизнесКонсалтинг</w:t>
      </w:r>
      <w:proofErr w:type="spellEnd"/>
      <w:r>
        <w:rPr>
          <w:rFonts w:ascii="Times New Roman" w:eastAsia="Calibri" w:hAnsi="Times New Roman" w:cs="Times New Roman"/>
          <w:bCs/>
          <w:iCs/>
          <w:sz w:val="28"/>
          <w:szCs w:val="28"/>
          <w:lang w:bidi="ru-RU"/>
        </w:rPr>
        <w:t xml:space="preserve"> </w:t>
      </w:r>
      <w:r w:rsidR="00D33E9E" w:rsidRPr="00D33E9E">
        <w:rPr>
          <w:rFonts w:ascii="Times New Roman" w:eastAsia="Calibri" w:hAnsi="Times New Roman" w:cs="Times New Roman"/>
          <w:bCs/>
          <w:iCs/>
          <w:sz w:val="28"/>
          <w:szCs w:val="28"/>
          <w:lang w:bidi="ru-RU"/>
        </w:rPr>
        <w:t>:</w:t>
      </w:r>
      <w:proofErr w:type="gramEnd"/>
      <w:r w:rsidR="00D33E9E" w:rsidRPr="00D33E9E">
        <w:rPr>
          <w:rFonts w:ascii="Times New Roman" w:eastAsia="Calibri" w:hAnsi="Times New Roman" w:cs="Times New Roman"/>
          <w:bCs/>
          <w:iCs/>
          <w:sz w:val="28"/>
          <w:szCs w:val="28"/>
          <w:lang w:bidi="ru-RU"/>
        </w:rPr>
        <w:t xml:space="preserve"> [официальный сайт]. – URL: </w:t>
      </w:r>
      <w:hyperlink r:id="rId9" w:history="1">
        <w:r w:rsidRPr="00397704">
          <w:rPr>
            <w:rStyle w:val="a4"/>
            <w:rFonts w:ascii="Times New Roman" w:eastAsia="Calibri" w:hAnsi="Times New Roman" w:cs="Times New Roman"/>
            <w:color w:val="auto"/>
            <w:sz w:val="28"/>
            <w:szCs w:val="28"/>
            <w:u w:val="none"/>
          </w:rPr>
          <w:t>https://www.rbc.ru/finances/10/04/2020/5e8f145b9a79472a8d6b1651</w:t>
        </w:r>
      </w:hyperlink>
    </w:p>
    <w:p w:rsidR="00D33E9E" w:rsidRPr="00D33E9E" w:rsidRDefault="00397704" w:rsidP="00D33E9E">
      <w:pPr>
        <w:numPr>
          <w:ilvl w:val="0"/>
          <w:numId w:val="1"/>
        </w:numPr>
        <w:spacing w:after="0" w:line="360" w:lineRule="auto"/>
        <w:ind w:firstLine="709"/>
        <w:jc w:val="both"/>
        <w:rPr>
          <w:rFonts w:ascii="Times New Roman" w:hAnsi="Times New Roman" w:cs="Times New Roman"/>
          <w:bCs/>
          <w:sz w:val="28"/>
          <w:szCs w:val="28"/>
          <w:lang w:bidi="ru-RU"/>
        </w:rPr>
      </w:pPr>
      <w:r w:rsidRPr="00397704">
        <w:rPr>
          <w:rFonts w:ascii="Times New Roman" w:hAnsi="Times New Roman" w:cs="Times New Roman"/>
          <w:bCs/>
          <w:sz w:val="28"/>
          <w:szCs w:val="28"/>
          <w:lang w:bidi="ru-RU"/>
        </w:rPr>
        <w:t>Вклады (депозиты) в рублях/иностранной валюте</w:t>
      </w:r>
      <w:r>
        <w:rPr>
          <w:rFonts w:ascii="Times New Roman" w:hAnsi="Times New Roman" w:cs="Times New Roman"/>
          <w:bCs/>
          <w:sz w:val="28"/>
          <w:szCs w:val="28"/>
          <w:lang w:bidi="ru-RU"/>
        </w:rPr>
        <w:t xml:space="preserve"> </w:t>
      </w:r>
      <w:r w:rsidR="00D33E9E" w:rsidRPr="00D33E9E">
        <w:rPr>
          <w:rFonts w:ascii="Times New Roman" w:hAnsi="Times New Roman" w:cs="Times New Roman"/>
          <w:bCs/>
          <w:iCs/>
          <w:sz w:val="28"/>
          <w:szCs w:val="28"/>
          <w:lang w:bidi="ru-RU"/>
        </w:rPr>
        <w:t xml:space="preserve">// </w:t>
      </w:r>
      <w:r w:rsidRPr="00397704">
        <w:rPr>
          <w:rFonts w:ascii="Times New Roman" w:hAnsi="Times New Roman" w:cs="Times New Roman"/>
          <w:bCs/>
          <w:iCs/>
          <w:sz w:val="28"/>
          <w:szCs w:val="28"/>
          <w:lang w:bidi="ru-RU"/>
        </w:rPr>
        <w:t xml:space="preserve">Федеральная служба государственной </w:t>
      </w:r>
      <w:proofErr w:type="gramStart"/>
      <w:r w:rsidRPr="00397704">
        <w:rPr>
          <w:rFonts w:ascii="Times New Roman" w:hAnsi="Times New Roman" w:cs="Times New Roman"/>
          <w:bCs/>
          <w:iCs/>
          <w:sz w:val="28"/>
          <w:szCs w:val="28"/>
          <w:lang w:bidi="ru-RU"/>
        </w:rPr>
        <w:t>статистики</w:t>
      </w:r>
      <w:r>
        <w:rPr>
          <w:rFonts w:ascii="Times New Roman" w:hAnsi="Times New Roman" w:cs="Times New Roman"/>
          <w:bCs/>
          <w:iCs/>
          <w:sz w:val="28"/>
          <w:szCs w:val="28"/>
          <w:lang w:bidi="ru-RU"/>
        </w:rPr>
        <w:t xml:space="preserve"> </w:t>
      </w:r>
      <w:r w:rsidR="00D33E9E" w:rsidRPr="00D33E9E">
        <w:rPr>
          <w:rFonts w:ascii="Times New Roman" w:hAnsi="Times New Roman" w:cs="Times New Roman"/>
          <w:bCs/>
          <w:iCs/>
          <w:sz w:val="28"/>
          <w:szCs w:val="28"/>
          <w:lang w:bidi="ru-RU"/>
        </w:rPr>
        <w:t>:</w:t>
      </w:r>
      <w:proofErr w:type="gramEnd"/>
      <w:r w:rsidR="00D33E9E" w:rsidRPr="00D33E9E">
        <w:rPr>
          <w:rFonts w:ascii="Times New Roman" w:hAnsi="Times New Roman" w:cs="Times New Roman"/>
          <w:bCs/>
          <w:iCs/>
          <w:sz w:val="28"/>
          <w:szCs w:val="28"/>
          <w:lang w:bidi="ru-RU"/>
        </w:rPr>
        <w:t xml:space="preserve"> [официальный сайт]. –</w:t>
      </w:r>
      <w:r w:rsidR="001616CB">
        <w:rPr>
          <w:rFonts w:ascii="Times New Roman" w:hAnsi="Times New Roman" w:cs="Times New Roman"/>
          <w:bCs/>
          <w:iCs/>
          <w:sz w:val="28"/>
          <w:szCs w:val="28"/>
          <w:lang w:bidi="ru-RU"/>
        </w:rPr>
        <w:t xml:space="preserve"> </w:t>
      </w:r>
      <w:r w:rsidR="00D33E9E" w:rsidRPr="00D33E9E">
        <w:rPr>
          <w:rFonts w:ascii="Times New Roman" w:hAnsi="Times New Roman" w:cs="Times New Roman"/>
          <w:bCs/>
          <w:iCs/>
          <w:sz w:val="28"/>
          <w:szCs w:val="28"/>
          <w:lang w:bidi="ru-RU"/>
        </w:rPr>
        <w:t xml:space="preserve">URL: </w:t>
      </w:r>
      <w:hyperlink r:id="rId10" w:history="1">
        <w:r w:rsidRPr="00397704">
          <w:rPr>
            <w:rStyle w:val="a4"/>
            <w:rFonts w:ascii="Times New Roman" w:eastAsia="Calibri" w:hAnsi="Times New Roman" w:cs="Times New Roman"/>
            <w:color w:val="auto"/>
            <w:sz w:val="28"/>
            <w:szCs w:val="28"/>
            <w:u w:val="none"/>
          </w:rPr>
          <w:t>https://rosstat.gov.ru/storage/mediabank/mfin36.pdf</w:t>
        </w:r>
      </w:hyperlink>
    </w:p>
    <w:p w:rsidR="00BD2C63" w:rsidRPr="001616CB" w:rsidRDefault="001616CB" w:rsidP="001616CB">
      <w:pPr>
        <w:numPr>
          <w:ilvl w:val="0"/>
          <w:numId w:val="1"/>
        </w:numPr>
        <w:spacing w:after="0" w:line="360" w:lineRule="auto"/>
        <w:ind w:firstLine="709"/>
        <w:jc w:val="both"/>
        <w:rPr>
          <w:rFonts w:ascii="Times New Roman" w:hAnsi="Times New Roman" w:cs="Times New Roman"/>
          <w:bCs/>
          <w:sz w:val="28"/>
          <w:szCs w:val="28"/>
          <w:lang w:bidi="ru-RU"/>
        </w:rPr>
      </w:pPr>
      <w:r w:rsidRPr="001616CB">
        <w:rPr>
          <w:rFonts w:ascii="Times New Roman" w:hAnsi="Times New Roman" w:cs="Times New Roman"/>
          <w:bCs/>
          <w:sz w:val="28"/>
          <w:szCs w:val="28"/>
          <w:lang w:bidi="ru-RU"/>
        </w:rPr>
        <w:t xml:space="preserve">Средневзвешенные ставки по кредитам, предоставленным нефинансовым организациям, и ключевая ставка Банка России </w:t>
      </w:r>
      <w:r w:rsidR="00D33E9E" w:rsidRPr="00D33E9E">
        <w:rPr>
          <w:rFonts w:ascii="Times New Roman" w:hAnsi="Times New Roman" w:cs="Times New Roman"/>
          <w:bCs/>
          <w:iCs/>
          <w:sz w:val="28"/>
          <w:szCs w:val="28"/>
          <w:lang w:bidi="ru-RU"/>
        </w:rPr>
        <w:t>/</w:t>
      </w:r>
      <w:proofErr w:type="gramStart"/>
      <w:r w:rsidR="00D33E9E" w:rsidRPr="00D33E9E">
        <w:rPr>
          <w:rFonts w:ascii="Times New Roman" w:hAnsi="Times New Roman" w:cs="Times New Roman"/>
          <w:bCs/>
          <w:iCs/>
          <w:sz w:val="28"/>
          <w:szCs w:val="28"/>
          <w:lang w:bidi="ru-RU"/>
        </w:rPr>
        <w:t xml:space="preserve">/ </w:t>
      </w:r>
      <w:r w:rsidRPr="001616CB">
        <w:rPr>
          <w:rFonts w:ascii="Times New Roman" w:hAnsi="Times New Roman" w:cs="Times New Roman"/>
          <w:bCs/>
          <w:iCs/>
          <w:sz w:val="28"/>
          <w:szCs w:val="28"/>
          <w:lang w:bidi="ru-RU"/>
        </w:rPr>
        <w:t xml:space="preserve"> Федеральная</w:t>
      </w:r>
      <w:proofErr w:type="gramEnd"/>
      <w:r w:rsidRPr="001616CB">
        <w:rPr>
          <w:rFonts w:ascii="Times New Roman" w:hAnsi="Times New Roman" w:cs="Times New Roman"/>
          <w:bCs/>
          <w:iCs/>
          <w:sz w:val="28"/>
          <w:szCs w:val="28"/>
          <w:lang w:bidi="ru-RU"/>
        </w:rPr>
        <w:t xml:space="preserve"> служба государственной статистики</w:t>
      </w:r>
      <w:r w:rsidR="00D33E9E" w:rsidRPr="00D33E9E">
        <w:rPr>
          <w:rFonts w:ascii="Times New Roman" w:hAnsi="Times New Roman" w:cs="Times New Roman"/>
          <w:bCs/>
          <w:iCs/>
          <w:sz w:val="28"/>
          <w:szCs w:val="28"/>
          <w:lang w:bidi="ru-RU"/>
        </w:rPr>
        <w:t xml:space="preserve"> : [официальный сайт]. – </w:t>
      </w:r>
      <w:proofErr w:type="gramStart"/>
      <w:r w:rsidR="00D33E9E" w:rsidRPr="00D33E9E">
        <w:rPr>
          <w:rFonts w:ascii="Times New Roman" w:hAnsi="Times New Roman" w:cs="Times New Roman"/>
          <w:bCs/>
          <w:iCs/>
          <w:sz w:val="28"/>
          <w:szCs w:val="28"/>
          <w:lang w:bidi="ru-RU"/>
        </w:rPr>
        <w:t xml:space="preserve">URL:  </w:t>
      </w:r>
      <w:hyperlink r:id="rId11" w:history="1">
        <w:r w:rsidRPr="001616CB">
          <w:rPr>
            <w:rStyle w:val="a4"/>
            <w:rFonts w:ascii="Times New Roman" w:eastAsia="Calibri" w:hAnsi="Times New Roman" w:cs="Times New Roman"/>
            <w:color w:val="auto"/>
            <w:sz w:val="28"/>
            <w:szCs w:val="28"/>
            <w:u w:val="none"/>
          </w:rPr>
          <w:t>https://rosstat.gov.ru/free_doc/new_site/finans/mfin35.htm</w:t>
        </w:r>
        <w:proofErr w:type="gramEnd"/>
      </w:hyperlink>
    </w:p>
    <w:sectPr w:rsidR="00BD2C63" w:rsidRPr="00161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6381A"/>
    <w:multiLevelType w:val="hybridMultilevel"/>
    <w:tmpl w:val="55F897D4"/>
    <w:lvl w:ilvl="0" w:tplc="0B9EFC9C">
      <w:start w:val="1"/>
      <w:numFmt w:val="decimal"/>
      <w:lvlText w:val="%1"/>
      <w:lvlJc w:val="left"/>
      <w:pPr>
        <w:ind w:left="342" w:hanging="711"/>
      </w:pPr>
      <w:rPr>
        <w:rFonts w:ascii="Times New Roman" w:eastAsia="Times New Roman" w:hAnsi="Times New Roman" w:cs="Times New Roman" w:hint="default"/>
        <w:w w:val="100"/>
        <w:sz w:val="28"/>
        <w:szCs w:val="28"/>
        <w:lang w:val="ru-RU" w:eastAsia="ru-RU" w:bidi="ru-RU"/>
      </w:rPr>
    </w:lvl>
    <w:lvl w:ilvl="1" w:tplc="75083F3E">
      <w:numFmt w:val="bullet"/>
      <w:lvlText w:val="•"/>
      <w:lvlJc w:val="left"/>
      <w:pPr>
        <w:ind w:left="1310" w:hanging="711"/>
      </w:pPr>
      <w:rPr>
        <w:rFonts w:hint="default"/>
        <w:lang w:val="ru-RU" w:eastAsia="ru-RU" w:bidi="ru-RU"/>
      </w:rPr>
    </w:lvl>
    <w:lvl w:ilvl="2" w:tplc="85745BC4">
      <w:numFmt w:val="bullet"/>
      <w:lvlText w:val="•"/>
      <w:lvlJc w:val="left"/>
      <w:pPr>
        <w:ind w:left="2281" w:hanging="711"/>
      </w:pPr>
      <w:rPr>
        <w:rFonts w:hint="default"/>
        <w:lang w:val="ru-RU" w:eastAsia="ru-RU" w:bidi="ru-RU"/>
      </w:rPr>
    </w:lvl>
    <w:lvl w:ilvl="3" w:tplc="0C0224FE">
      <w:numFmt w:val="bullet"/>
      <w:lvlText w:val="•"/>
      <w:lvlJc w:val="left"/>
      <w:pPr>
        <w:ind w:left="3251" w:hanging="711"/>
      </w:pPr>
      <w:rPr>
        <w:rFonts w:hint="default"/>
        <w:lang w:val="ru-RU" w:eastAsia="ru-RU" w:bidi="ru-RU"/>
      </w:rPr>
    </w:lvl>
    <w:lvl w:ilvl="4" w:tplc="9790E480">
      <w:numFmt w:val="bullet"/>
      <w:lvlText w:val="•"/>
      <w:lvlJc w:val="left"/>
      <w:pPr>
        <w:ind w:left="4222" w:hanging="711"/>
      </w:pPr>
      <w:rPr>
        <w:rFonts w:hint="default"/>
        <w:lang w:val="ru-RU" w:eastAsia="ru-RU" w:bidi="ru-RU"/>
      </w:rPr>
    </w:lvl>
    <w:lvl w:ilvl="5" w:tplc="B14C3250">
      <w:numFmt w:val="bullet"/>
      <w:lvlText w:val="•"/>
      <w:lvlJc w:val="left"/>
      <w:pPr>
        <w:ind w:left="5193" w:hanging="711"/>
      </w:pPr>
      <w:rPr>
        <w:rFonts w:hint="default"/>
        <w:lang w:val="ru-RU" w:eastAsia="ru-RU" w:bidi="ru-RU"/>
      </w:rPr>
    </w:lvl>
    <w:lvl w:ilvl="6" w:tplc="B44439CA">
      <w:numFmt w:val="bullet"/>
      <w:lvlText w:val="•"/>
      <w:lvlJc w:val="left"/>
      <w:pPr>
        <w:ind w:left="6163" w:hanging="711"/>
      </w:pPr>
      <w:rPr>
        <w:rFonts w:hint="default"/>
        <w:lang w:val="ru-RU" w:eastAsia="ru-RU" w:bidi="ru-RU"/>
      </w:rPr>
    </w:lvl>
    <w:lvl w:ilvl="7" w:tplc="732E119C">
      <w:numFmt w:val="bullet"/>
      <w:lvlText w:val="•"/>
      <w:lvlJc w:val="left"/>
      <w:pPr>
        <w:ind w:left="7134" w:hanging="711"/>
      </w:pPr>
      <w:rPr>
        <w:rFonts w:hint="default"/>
        <w:lang w:val="ru-RU" w:eastAsia="ru-RU" w:bidi="ru-RU"/>
      </w:rPr>
    </w:lvl>
    <w:lvl w:ilvl="8" w:tplc="DDE64DC8">
      <w:numFmt w:val="bullet"/>
      <w:lvlText w:val="•"/>
      <w:lvlJc w:val="left"/>
      <w:pPr>
        <w:ind w:left="8105" w:hanging="71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9"/>
    <w:rsid w:val="00086356"/>
    <w:rsid w:val="00102FFB"/>
    <w:rsid w:val="001616CB"/>
    <w:rsid w:val="00171986"/>
    <w:rsid w:val="001D05C4"/>
    <w:rsid w:val="001F1849"/>
    <w:rsid w:val="00291C14"/>
    <w:rsid w:val="002B3F59"/>
    <w:rsid w:val="002C0721"/>
    <w:rsid w:val="00321EA9"/>
    <w:rsid w:val="00327320"/>
    <w:rsid w:val="00367D1A"/>
    <w:rsid w:val="00375F94"/>
    <w:rsid w:val="003966B7"/>
    <w:rsid w:val="00397704"/>
    <w:rsid w:val="003F7EA5"/>
    <w:rsid w:val="00420C79"/>
    <w:rsid w:val="004342B7"/>
    <w:rsid w:val="00473CAF"/>
    <w:rsid w:val="005A2C17"/>
    <w:rsid w:val="005D79FF"/>
    <w:rsid w:val="006102CC"/>
    <w:rsid w:val="00671DCE"/>
    <w:rsid w:val="006A7044"/>
    <w:rsid w:val="006C6A03"/>
    <w:rsid w:val="00710B77"/>
    <w:rsid w:val="00797495"/>
    <w:rsid w:val="00826071"/>
    <w:rsid w:val="00840ABB"/>
    <w:rsid w:val="008A1779"/>
    <w:rsid w:val="008E6AEE"/>
    <w:rsid w:val="00904A5B"/>
    <w:rsid w:val="00944D27"/>
    <w:rsid w:val="00962E8F"/>
    <w:rsid w:val="009724E8"/>
    <w:rsid w:val="00A02D4D"/>
    <w:rsid w:val="00A159B9"/>
    <w:rsid w:val="00A7391B"/>
    <w:rsid w:val="00A87DE8"/>
    <w:rsid w:val="00AF0509"/>
    <w:rsid w:val="00B07E01"/>
    <w:rsid w:val="00B51424"/>
    <w:rsid w:val="00BB36E8"/>
    <w:rsid w:val="00BD2C63"/>
    <w:rsid w:val="00BF037B"/>
    <w:rsid w:val="00C91647"/>
    <w:rsid w:val="00D17729"/>
    <w:rsid w:val="00D33E9E"/>
    <w:rsid w:val="00D34926"/>
    <w:rsid w:val="00D77CA1"/>
    <w:rsid w:val="00DC05F9"/>
    <w:rsid w:val="00E15175"/>
    <w:rsid w:val="00E331B6"/>
    <w:rsid w:val="00E93E36"/>
    <w:rsid w:val="00EA2320"/>
    <w:rsid w:val="00EA40C1"/>
    <w:rsid w:val="00F22984"/>
    <w:rsid w:val="00F45100"/>
    <w:rsid w:val="00F50922"/>
    <w:rsid w:val="00F80C9F"/>
    <w:rsid w:val="00FB34E4"/>
    <w:rsid w:val="00FE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FBE9D-7EFC-4B21-B88C-108322CC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97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rosstat.gov.ru/free_doc/new_site/finans/mfin35.htm" TargetMode="External"/><Relationship Id="rId5" Type="http://schemas.openxmlformats.org/officeDocument/2006/relationships/chart" Target="charts/chart1.xml"/><Relationship Id="rId10" Type="http://schemas.openxmlformats.org/officeDocument/2006/relationships/hyperlink" Target="https://rosstat.gov.ru/storage/mediabank/mfin36.pdf" TargetMode="External"/><Relationship Id="rId4" Type="http://schemas.openxmlformats.org/officeDocument/2006/relationships/webSettings" Target="webSettings.xml"/><Relationship Id="rId9" Type="http://schemas.openxmlformats.org/officeDocument/2006/relationships/hyperlink" Target="https://www.rbc.ru/finances/10/04/2020/5e8f145b9a79472a8d6b165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89880803116169E-2"/>
          <c:y val="7.9040119985001864E-2"/>
          <c:w val="0.94486383469582225"/>
          <c:h val="0.52441006098727461"/>
        </c:manualLayout>
      </c:layout>
      <c:lineChart>
        <c:grouping val="standard"/>
        <c:varyColors val="0"/>
        <c:ser>
          <c:idx val="0"/>
          <c:order val="0"/>
          <c:tx>
            <c:strRef>
              <c:f>Лист1!$B$1</c:f>
              <c:strCache>
                <c:ptCount val="1"/>
                <c:pt idx="0">
                  <c:v>По рублевым кредитам нефинансовым организациям (на все сроки до года, включая "до востребования", без учета операций ПАО Сбербанка России)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4.1401273885350316E-2"/>
                  <c:y val="-3.179916212396528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Лист1!$A$2:$A$25</c:f>
              <c:numCache>
                <c:formatCode>m/d/yyyy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Лист1!$B$2:$B$25</c:f>
              <c:numCache>
                <c:formatCode>General</c:formatCode>
                <c:ptCount val="24"/>
                <c:pt idx="0">
                  <c:v>9.3000000000000007</c:v>
                </c:pt>
                <c:pt idx="1">
                  <c:v>9.1199999999999992</c:v>
                </c:pt>
                <c:pt idx="2">
                  <c:v>9</c:v>
                </c:pt>
                <c:pt idx="3">
                  <c:v>8.92</c:v>
                </c:pt>
                <c:pt idx="4">
                  <c:v>8.91</c:v>
                </c:pt>
                <c:pt idx="5">
                  <c:v>8.94</c:v>
                </c:pt>
                <c:pt idx="6">
                  <c:v>8.8800000000000008</c:v>
                </c:pt>
                <c:pt idx="7">
                  <c:v>8.8000000000000007</c:v>
                </c:pt>
                <c:pt idx="8">
                  <c:v>9.09</c:v>
                </c:pt>
                <c:pt idx="9">
                  <c:v>9</c:v>
                </c:pt>
                <c:pt idx="10">
                  <c:v>9.06</c:v>
                </c:pt>
                <c:pt idx="11">
                  <c:v>9.24</c:v>
                </c:pt>
                <c:pt idx="12">
                  <c:v>9.23</c:v>
                </c:pt>
                <c:pt idx="13">
                  <c:v>9.25</c:v>
                </c:pt>
                <c:pt idx="14">
                  <c:v>9.25</c:v>
                </c:pt>
                <c:pt idx="15">
                  <c:v>9.15</c:v>
                </c:pt>
                <c:pt idx="16">
                  <c:v>9.14</c:v>
                </c:pt>
                <c:pt idx="17">
                  <c:v>9.0299999999999994</c:v>
                </c:pt>
                <c:pt idx="18">
                  <c:v>8.7100000000000009</c:v>
                </c:pt>
                <c:pt idx="19">
                  <c:v>8.52</c:v>
                </c:pt>
                <c:pt idx="20">
                  <c:v>8.2899999999999991</c:v>
                </c:pt>
                <c:pt idx="21">
                  <c:v>8.18</c:v>
                </c:pt>
                <c:pt idx="22">
                  <c:v>7.91</c:v>
                </c:pt>
                <c:pt idx="23">
                  <c:v>7.8</c:v>
                </c:pt>
              </c:numCache>
            </c:numRef>
          </c:val>
          <c:smooth val="0"/>
        </c:ser>
        <c:ser>
          <c:idx val="1"/>
          <c:order val="1"/>
          <c:tx>
            <c:strRef>
              <c:f>Лист1!$C$1</c:f>
              <c:strCache>
                <c:ptCount val="1"/>
                <c:pt idx="0">
                  <c:v>Ключевая ставка, установленная Банком России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0"/>
              <c:layout>
                <c:manualLayout>
                  <c:x val="-3.0191082802547772E-2"/>
                  <c:y val="-3.06036745406824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Лист1!$A$2:$A$25</c:f>
              <c:numCache>
                <c:formatCode>m/d/yyyy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Лист1!$C$2:$C$25</c:f>
              <c:numCache>
                <c:formatCode>General</c:formatCode>
                <c:ptCount val="24"/>
                <c:pt idx="0">
                  <c:v>7.75</c:v>
                </c:pt>
                <c:pt idx="1">
                  <c:v>7.5</c:v>
                </c:pt>
                <c:pt idx="2">
                  <c:v>7.25</c:v>
                </c:pt>
                <c:pt idx="3">
                  <c:v>7.25</c:v>
                </c:pt>
                <c:pt idx="4">
                  <c:v>7.25</c:v>
                </c:pt>
                <c:pt idx="5">
                  <c:v>7.25</c:v>
                </c:pt>
                <c:pt idx="6">
                  <c:v>7.25</c:v>
                </c:pt>
                <c:pt idx="7">
                  <c:v>7.25</c:v>
                </c:pt>
                <c:pt idx="8">
                  <c:v>7.5</c:v>
                </c:pt>
                <c:pt idx="9">
                  <c:v>7.5</c:v>
                </c:pt>
                <c:pt idx="10">
                  <c:v>7.5</c:v>
                </c:pt>
                <c:pt idx="11">
                  <c:v>7.76</c:v>
                </c:pt>
                <c:pt idx="12">
                  <c:v>7.75</c:v>
                </c:pt>
                <c:pt idx="13">
                  <c:v>7.75</c:v>
                </c:pt>
                <c:pt idx="14">
                  <c:v>7.75</c:v>
                </c:pt>
                <c:pt idx="15">
                  <c:v>7.75</c:v>
                </c:pt>
                <c:pt idx="16">
                  <c:v>7.76</c:v>
                </c:pt>
                <c:pt idx="17">
                  <c:v>7.5</c:v>
                </c:pt>
                <c:pt idx="18">
                  <c:v>7.25</c:v>
                </c:pt>
                <c:pt idx="19">
                  <c:v>7.25</c:v>
                </c:pt>
                <c:pt idx="20">
                  <c:v>7.5</c:v>
                </c:pt>
                <c:pt idx="21">
                  <c:v>6.5</c:v>
                </c:pt>
                <c:pt idx="22">
                  <c:v>6.5</c:v>
                </c:pt>
                <c:pt idx="23">
                  <c:v>6.25</c:v>
                </c:pt>
              </c:numCache>
            </c:numRef>
          </c:val>
          <c:smooth val="0"/>
        </c:ser>
        <c:ser>
          <c:idx val="2"/>
          <c:order val="2"/>
          <c:tx>
            <c:strRef>
              <c:f>Лист1!$D$1</c:f>
              <c:strCache>
                <c:ptCount val="1"/>
                <c:pt idx="0">
                  <c:v>Столбец1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Лист1!$A$2:$A$25</c:f>
              <c:numCache>
                <c:formatCode>m/d/yyyy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Лист1!$D$2:$D$25</c:f>
              <c:numCache>
                <c:formatCode>General</c:formatCode>
                <c:ptCount val="24"/>
              </c:numCache>
            </c:numRef>
          </c:val>
          <c:smooth val="0"/>
        </c:ser>
        <c:dLbls>
          <c:dLblPos val="t"/>
          <c:showLegendKey val="0"/>
          <c:showVal val="1"/>
          <c:showCatName val="0"/>
          <c:showSerName val="0"/>
          <c:showPercent val="0"/>
          <c:showBubbleSize val="0"/>
        </c:dLbls>
        <c:marker val="1"/>
        <c:smooth val="0"/>
        <c:axId val="383098064"/>
        <c:axId val="383098456"/>
      </c:lineChart>
      <c:dateAx>
        <c:axId val="383098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solidFill>
                      <a:sysClr val="windowText" lastClr="000000"/>
                    </a:solidFill>
                  </a:rPr>
                  <a:t>%</a:t>
                </a:r>
              </a:p>
            </c:rich>
          </c:tx>
          <c:layout>
            <c:manualLayout>
              <c:xMode val="edge"/>
              <c:yMode val="edge"/>
              <c:x val="1.2559138706387816E-2"/>
              <c:y val="7.8740157480314981E-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83098456"/>
        <c:crosses val="autoZero"/>
        <c:auto val="1"/>
        <c:lblOffset val="100"/>
        <c:baseTimeUnit val="months"/>
      </c:dateAx>
      <c:valAx>
        <c:axId val="383098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83098064"/>
        <c:crosses val="autoZero"/>
        <c:crossBetween val="between"/>
      </c:valAx>
      <c:spPr>
        <a:noFill/>
        <a:ln>
          <a:noFill/>
        </a:ln>
        <a:effectLst/>
      </c:spPr>
    </c:plotArea>
    <c:legend>
      <c:legendPos val="b"/>
      <c:legendEntry>
        <c:idx val="2"/>
        <c:delete val="1"/>
      </c:legendEntry>
      <c:layout>
        <c:manualLayout>
          <c:xMode val="edge"/>
          <c:yMode val="edge"/>
          <c:x val="0.10926743233528928"/>
          <c:y val="0.80798879731870255"/>
          <c:w val="0.78146496815286626"/>
          <c:h val="0.18825830444663805"/>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283958317091554E-2"/>
          <c:y val="5.1643004083948972E-2"/>
          <c:w val="0.94220107903178774"/>
          <c:h val="0.78331032945206169"/>
        </c:manualLayout>
      </c:layout>
      <c:bar3DChart>
        <c:barDir val="col"/>
        <c:grouping val="clustered"/>
        <c:varyColors val="0"/>
        <c:ser>
          <c:idx val="0"/>
          <c:order val="0"/>
          <c:tx>
            <c:strRef>
              <c:f>Лист1!$B$1</c:f>
              <c:strCache>
                <c:ptCount val="1"/>
                <c:pt idx="0">
                  <c:v>Вклады (депозиты) в рублях</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71.400000000000006</c:v>
                </c:pt>
                <c:pt idx="1">
                  <c:v>69.900000000000006</c:v>
                </c:pt>
                <c:pt idx="2">
                  <c:v>60.4</c:v>
                </c:pt>
                <c:pt idx="3">
                  <c:v>58.2</c:v>
                </c:pt>
                <c:pt idx="4">
                  <c:v>66.099999999999994</c:v>
                </c:pt>
                <c:pt idx="5">
                  <c:v>72</c:v>
                </c:pt>
                <c:pt idx="6">
                  <c:v>72.5</c:v>
                </c:pt>
                <c:pt idx="7">
                  <c:v>76.3</c:v>
                </c:pt>
              </c:numCache>
            </c:numRef>
          </c:val>
        </c:ser>
        <c:ser>
          <c:idx val="1"/>
          <c:order val="1"/>
          <c:tx>
            <c:strRef>
              <c:f>Лист1!$C$1</c:f>
              <c:strCache>
                <c:ptCount val="1"/>
                <c:pt idx="0">
                  <c:v>Вклады (депозиты) в иностранной валюте</c:v>
                </c:pt>
              </c:strCache>
            </c:strRef>
          </c:tx>
          <c:spPr>
            <a:solidFill>
              <a:srgbClr val="7030A0"/>
            </a:solidFill>
            <a:ln>
              <a:noFill/>
            </a:ln>
            <a:effectLst/>
            <a:sp3d/>
          </c:spPr>
          <c:invertIfNegative val="0"/>
          <c:dLbls>
            <c:dLbl>
              <c:idx val="0"/>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03703703703703E-2"/>
                  <c:y val="7.9366641669790551E-3"/>
                </c:manualLayout>
              </c:layout>
              <c:showLegendKey val="0"/>
              <c:showVal val="1"/>
              <c:showCatName val="0"/>
              <c:showSerName val="0"/>
              <c:showPercent val="0"/>
              <c:showBubbleSize val="0"/>
              <c:extLst>
                <c:ext xmlns:c15="http://schemas.microsoft.com/office/drawing/2012/chart" uri="{CE6537A1-D6FC-4f65-9D91-7224C49458BB}">
                  <c15:layout>
                    <c:manualLayout>
                      <c:w val="5.0925925925925923E-2"/>
                      <c:h val="5.549618797650293E-2"/>
                    </c:manualLayout>
                  </c15:layout>
                </c:ext>
              </c:extLst>
            </c:dLbl>
            <c:dLbl>
              <c:idx val="3"/>
              <c:layout>
                <c:manualLayout>
                  <c:x val="1.6203703703703703E-2"/>
                  <c:y val="3.968253968253895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03703703703703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574165208515601E-2"/>
                  <c:y val="-7.275048233154282E-1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6574074074074066E-2"/>
                      <c:h val="5.9464441944756904E-2"/>
                    </c:manualLayout>
                  </c15:layout>
                </c:ext>
              </c:extLst>
            </c:dLbl>
            <c:dLbl>
              <c:idx val="6"/>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518518518518517E-2"/>
                  <c:y val="3.96825396825396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28.6</c:v>
                </c:pt>
                <c:pt idx="1">
                  <c:v>30.1</c:v>
                </c:pt>
                <c:pt idx="2">
                  <c:v>39.6</c:v>
                </c:pt>
                <c:pt idx="3">
                  <c:v>41.8</c:v>
                </c:pt>
                <c:pt idx="4">
                  <c:v>33.9</c:v>
                </c:pt>
                <c:pt idx="5">
                  <c:v>28</c:v>
                </c:pt>
                <c:pt idx="6">
                  <c:v>27.5</c:v>
                </c:pt>
                <c:pt idx="7">
                  <c:v>23.7</c:v>
                </c:pt>
              </c:numCache>
            </c:numRef>
          </c:val>
        </c:ser>
        <c:ser>
          <c:idx val="2"/>
          <c:order val="2"/>
          <c:tx>
            <c:strRef>
              <c:f>Лист1!$D$1</c:f>
              <c:strCache>
                <c:ptCount val="1"/>
                <c:pt idx="0">
                  <c:v>Столбец1</c:v>
                </c:pt>
              </c:strCache>
            </c:strRef>
          </c:tx>
          <c:spPr>
            <a:solidFill>
              <a:schemeClr val="accent3"/>
            </a:solidFill>
            <a:ln>
              <a:noFill/>
            </a:ln>
            <a:effectLst/>
            <a:sp3d/>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383100024"/>
        <c:axId val="383094536"/>
        <c:axId val="0"/>
      </c:bar3DChart>
      <c:catAx>
        <c:axId val="383100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solidFill>
                      <a:sysClr val="windowText" lastClr="000000"/>
                    </a:solidFill>
                  </a:rPr>
                  <a:t>%</a:t>
                </a:r>
              </a:p>
            </c:rich>
          </c:tx>
          <c:layout>
            <c:manualLayout>
              <c:xMode val="edge"/>
              <c:yMode val="edge"/>
              <c:x val="3.1730643044619422E-2"/>
              <c:y val="1.234519980777050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83094536"/>
        <c:crosses val="autoZero"/>
        <c:auto val="1"/>
        <c:lblAlgn val="ctr"/>
        <c:lblOffset val="100"/>
        <c:noMultiLvlLbl val="0"/>
      </c:catAx>
      <c:valAx>
        <c:axId val="383094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83100024"/>
        <c:crosses val="autoZero"/>
        <c:crossBetween val="between"/>
      </c:valAx>
      <c:spPr>
        <a:noFill/>
        <a:ln>
          <a:noFill/>
        </a:ln>
        <a:effectLst/>
      </c:spPr>
    </c:plotArea>
    <c:legend>
      <c:legendPos val="b"/>
      <c:legendEntry>
        <c:idx val="2"/>
        <c:delete val="1"/>
      </c:legendEntry>
      <c:layout>
        <c:manualLayout>
          <c:xMode val="edge"/>
          <c:yMode val="edge"/>
          <c:x val="0.10688045182471002"/>
          <c:y val="0.90500390153933463"/>
          <c:w val="0.78623909635057998"/>
          <c:h val="7.922590662082733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477578233755262E-2"/>
          <c:y val="8.4726867335562991E-2"/>
          <c:w val="0.92343922526925515"/>
          <c:h val="0.67211299256489265"/>
        </c:manualLayout>
      </c:layout>
      <c:barChart>
        <c:barDir val="col"/>
        <c:grouping val="clustered"/>
        <c:varyColors val="0"/>
        <c:ser>
          <c:idx val="0"/>
          <c:order val="0"/>
          <c:tx>
            <c:strRef>
              <c:f>Лист1!$B$1</c:f>
              <c:strCache>
                <c:ptCount val="1"/>
                <c:pt idx="0">
                  <c:v>на срок свыше 3 лет</c:v>
                </c:pt>
              </c:strCache>
            </c:strRef>
          </c:tx>
          <c:spPr>
            <a:solidFill>
              <a:srgbClr val="C043FF"/>
            </a:solidFill>
            <a:ln>
              <a:noFill/>
            </a:ln>
            <a:effectLst/>
          </c:spPr>
          <c:invertIfNegative val="0"/>
          <c:dLbls>
            <c:dLbl>
              <c:idx val="0"/>
              <c:layout>
                <c:manualLayout>
                  <c:x val="-8.7575259989053095E-3"/>
                  <c:y val="4.459308807134812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3779264214046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787629994526548E-3"/>
                  <c:y val="1.33779264214046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5681444991790624E-3"/>
                  <c:y val="1.33779264214046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893814997264076E-3"/>
                  <c:y val="1.33779264214046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893814997264878E-3"/>
                  <c:y val="8.918617614269788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5681444991791422E-3"/>
                  <c:y val="1.33779264214046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43FF"/>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7.8</c:v>
                </c:pt>
                <c:pt idx="1">
                  <c:v>8</c:v>
                </c:pt>
                <c:pt idx="2">
                  <c:v>6.3</c:v>
                </c:pt>
                <c:pt idx="3">
                  <c:v>4.3</c:v>
                </c:pt>
                <c:pt idx="4">
                  <c:v>4.0999999999999996</c:v>
                </c:pt>
                <c:pt idx="5">
                  <c:v>4</c:v>
                </c:pt>
                <c:pt idx="6">
                  <c:v>4.0999999999999996</c:v>
                </c:pt>
                <c:pt idx="7">
                  <c:v>3.7</c:v>
                </c:pt>
              </c:numCache>
            </c:numRef>
          </c:val>
        </c:ser>
        <c:ser>
          <c:idx val="1"/>
          <c:order val="1"/>
          <c:tx>
            <c:strRef>
              <c:f>Лист1!$C$1</c:f>
              <c:strCache>
                <c:ptCount val="1"/>
                <c:pt idx="0">
                  <c:v>на срок от 1 года до 3 лет</c:v>
                </c:pt>
              </c:strCache>
            </c:strRef>
          </c:tx>
          <c:spPr>
            <a:solidFill>
              <a:srgbClr val="B03A75"/>
            </a:solidFill>
            <a:ln>
              <a:noFill/>
            </a:ln>
            <a:effectLst/>
          </c:spPr>
          <c:invertIfNegative val="0"/>
          <c:dLbls>
            <c:dLbl>
              <c:idx val="3"/>
              <c:layout>
                <c:manualLayout>
                  <c:x val="-8.757525998905309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B03A75"/>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48.3</c:v>
                </c:pt>
                <c:pt idx="1">
                  <c:v>51.3</c:v>
                </c:pt>
                <c:pt idx="2">
                  <c:v>46.4</c:v>
                </c:pt>
                <c:pt idx="3">
                  <c:v>33.9</c:v>
                </c:pt>
                <c:pt idx="4">
                  <c:v>35.700000000000003</c:v>
                </c:pt>
                <c:pt idx="5">
                  <c:v>31.5</c:v>
                </c:pt>
                <c:pt idx="6">
                  <c:v>32</c:v>
                </c:pt>
                <c:pt idx="7">
                  <c:v>32.6</c:v>
                </c:pt>
              </c:numCache>
            </c:numRef>
          </c:val>
        </c:ser>
        <c:ser>
          <c:idx val="2"/>
          <c:order val="2"/>
          <c:tx>
            <c:strRef>
              <c:f>Лист1!$D$1</c:f>
              <c:strCache>
                <c:ptCount val="1"/>
                <c:pt idx="0">
                  <c:v>на срок от 181 дня до 1 года</c:v>
                </c:pt>
              </c:strCache>
            </c:strRef>
          </c:tx>
          <c:spPr>
            <a:solidFill>
              <a:srgbClr val="319362"/>
            </a:solidFill>
            <a:ln>
              <a:noFill/>
            </a:ln>
            <a:effectLst/>
          </c:spPr>
          <c:invertIfNegative val="0"/>
          <c:dLbls>
            <c:dLbl>
              <c:idx val="0"/>
              <c:layout>
                <c:manualLayout>
                  <c:x val="6.5681444991789817E-3"/>
                  <c:y val="-8.1753050379258811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568144499178981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0946907498631636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1893814997263273E-2"/>
                  <c:y val="1.337792642140464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0946907498631636E-2"/>
                  <c:y val="1.33779264214046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889596247277521E-2"/>
                  <c:y val="-1.24482973830225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3136288998357963E-2"/>
                  <c:y val="1.78372352285395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0946907498631636E-2"/>
                  <c:y val="8.91861761426978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31936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0">
                  <c:v>17.2</c:v>
                </c:pt>
                <c:pt idx="1">
                  <c:v>14.7</c:v>
                </c:pt>
                <c:pt idx="2">
                  <c:v>17.7</c:v>
                </c:pt>
                <c:pt idx="3">
                  <c:v>35.200000000000003</c:v>
                </c:pt>
                <c:pt idx="4">
                  <c:v>28.9</c:v>
                </c:pt>
                <c:pt idx="5">
                  <c:v>21.8</c:v>
                </c:pt>
                <c:pt idx="6">
                  <c:v>28.9</c:v>
                </c:pt>
                <c:pt idx="7">
                  <c:v>28.2</c:v>
                </c:pt>
              </c:numCache>
            </c:numRef>
          </c:val>
        </c:ser>
        <c:ser>
          <c:idx val="3"/>
          <c:order val="3"/>
          <c:tx>
            <c:strRef>
              <c:f>Лист1!$E$1</c:f>
              <c:strCache>
                <c:ptCount val="1"/>
                <c:pt idx="0">
                  <c:v>на срок от 91 до 180 дней</c:v>
                </c:pt>
              </c:strCache>
            </c:strRef>
          </c:tx>
          <c:spPr>
            <a:solidFill>
              <a:srgbClr val="99CC00"/>
            </a:solidFill>
            <a:ln>
              <a:noFill/>
            </a:ln>
            <a:effectLst/>
          </c:spPr>
          <c:invertIfNegative val="0"/>
          <c:dLbls>
            <c:dLbl>
              <c:idx val="0"/>
              <c:layout>
                <c:manualLayout>
                  <c:x val="4.3787629994526548E-3"/>
                  <c:y val="-8.918617614269869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568144499178981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757525998905309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5681444991789019E-3"/>
                  <c:y val="8.918617614269706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5325670498084131E-2"/>
                  <c:y val="8.918617614269788E-3"/>
                </c:manualLayout>
              </c:layout>
              <c:tx>
                <c:rich>
                  <a:bodyPr/>
                  <a:lstStyle/>
                  <a:p>
                    <a:fld id="{B3EE0689-F0E1-4615-A135-3509796844C7}" type="VALUE">
                      <a:rPr lang="en-US" b="1"/>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layout>
                <c:manualLayout>
                  <c:x val="4.3787629994526548E-3"/>
                  <c:y val="-8.1753050379258811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99CC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Лист1!$E$2:$E$9</c:f>
              <c:numCache>
                <c:formatCode>General</c:formatCode>
                <c:ptCount val="8"/>
                <c:pt idx="0">
                  <c:v>3.8</c:v>
                </c:pt>
                <c:pt idx="1">
                  <c:v>3.3</c:v>
                </c:pt>
                <c:pt idx="2">
                  <c:v>6.3</c:v>
                </c:pt>
                <c:pt idx="3">
                  <c:v>5.6</c:v>
                </c:pt>
                <c:pt idx="4">
                  <c:v>9.6999999999999993</c:v>
                </c:pt>
                <c:pt idx="5">
                  <c:v>20.2</c:v>
                </c:pt>
                <c:pt idx="6">
                  <c:v>9</c:v>
                </c:pt>
                <c:pt idx="7">
                  <c:v>7.4</c:v>
                </c:pt>
              </c:numCache>
            </c:numRef>
          </c:val>
        </c:ser>
        <c:ser>
          <c:idx val="4"/>
          <c:order val="4"/>
          <c:tx>
            <c:strRef>
              <c:f>Лист1!$F$1</c:f>
              <c:strCache>
                <c:ptCount val="1"/>
                <c:pt idx="0">
                  <c:v>на срок от 31 до 90 дней</c:v>
                </c:pt>
              </c:strCache>
            </c:strRef>
          </c:tx>
          <c:spPr>
            <a:solidFill>
              <a:srgbClr val="FE9700"/>
            </a:solidFill>
            <a:ln>
              <a:noFill/>
            </a:ln>
            <a:effectLst/>
          </c:spPr>
          <c:invertIfNegative val="0"/>
          <c:dLbls>
            <c:dLbl>
              <c:idx val="1"/>
              <c:layout>
                <c:manualLayout>
                  <c:x val="0"/>
                  <c:y val="1.33779264214046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893814997263274E-3"/>
                  <c:y val="1.33779264214046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5681444991789817E-3"/>
                  <c:y val="4.459308807134812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3787629994526548E-3"/>
                  <c:y val="-1.6350610075851762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3787629994526548E-3"/>
                  <c:y val="-8.1753050379258811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4.3787629994526548E-3"/>
                  <c:y val="1.337792642140460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6.568144499178981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E97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Лист1!$F$2:$F$9</c:f>
              <c:numCache>
                <c:formatCode>General</c:formatCode>
                <c:ptCount val="8"/>
                <c:pt idx="0">
                  <c:v>1.8</c:v>
                </c:pt>
                <c:pt idx="1">
                  <c:v>2</c:v>
                </c:pt>
                <c:pt idx="2">
                  <c:v>3.8</c:v>
                </c:pt>
                <c:pt idx="3">
                  <c:v>1.6</c:v>
                </c:pt>
                <c:pt idx="4">
                  <c:v>2.2999999999999998</c:v>
                </c:pt>
                <c:pt idx="5">
                  <c:v>1.4</c:v>
                </c:pt>
                <c:pt idx="6">
                  <c:v>1.9</c:v>
                </c:pt>
                <c:pt idx="7">
                  <c:v>1.3</c:v>
                </c:pt>
              </c:numCache>
            </c:numRef>
          </c:val>
        </c:ser>
        <c:ser>
          <c:idx val="5"/>
          <c:order val="5"/>
          <c:tx>
            <c:strRef>
              <c:f>Лист1!$G$1</c:f>
              <c:strCache>
                <c:ptCount val="1"/>
                <c:pt idx="0">
                  <c:v>на срок до 30 дней</c:v>
                </c:pt>
              </c:strCache>
            </c:strRef>
          </c:tx>
          <c:spPr>
            <a:solidFill>
              <a:srgbClr val="FF7C80"/>
            </a:solidFill>
            <a:ln>
              <a:noFill/>
            </a:ln>
            <a:effectLst/>
          </c:spPr>
          <c:invertIfNegative val="0"/>
          <c:dLbls>
            <c:dLbl>
              <c:idx val="0"/>
              <c:layout>
                <c:manualLayout>
                  <c:x val="0"/>
                  <c:y val="1.337792642140460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0138197148437415E-17"/>
                  <c:y val="1.78372352285394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337792642140460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1893814997263274E-3"/>
                  <c:y val="2.675585284280936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78372352285394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1893814997263274E-3"/>
                  <c:y val="2.675585284280928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675585284280928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229654403567438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Лист1!$G$2:$G$9</c:f>
              <c:numCache>
                <c:formatCode>General</c:formatCode>
                <c:ptCount val="8"/>
                <c:pt idx="0">
                  <c:v>0.2</c:v>
                </c:pt>
                <c:pt idx="1">
                  <c:v>0.3</c:v>
                </c:pt>
                <c:pt idx="2">
                  <c:v>0.2</c:v>
                </c:pt>
                <c:pt idx="3">
                  <c:v>0.2</c:v>
                </c:pt>
                <c:pt idx="4">
                  <c:v>0.3</c:v>
                </c:pt>
                <c:pt idx="5">
                  <c:v>0.3</c:v>
                </c:pt>
                <c:pt idx="6">
                  <c:v>0.3</c:v>
                </c:pt>
                <c:pt idx="7">
                  <c:v>0.3</c:v>
                </c:pt>
              </c:numCache>
            </c:numRef>
          </c:val>
        </c:ser>
        <c:ser>
          <c:idx val="6"/>
          <c:order val="6"/>
          <c:tx>
            <c:strRef>
              <c:f>Лист1!$H$1</c:f>
              <c:strCache>
                <c:ptCount val="1"/>
                <c:pt idx="0">
                  <c:v>до востребования</c:v>
                </c:pt>
              </c:strCache>
            </c:strRef>
          </c:tx>
          <c:spPr>
            <a:solidFill>
              <a:srgbClr val="0070C0"/>
            </a:solidFill>
            <a:ln>
              <a:noFill/>
            </a:ln>
            <a:effectLst/>
          </c:spPr>
          <c:invertIfNegative val="0"/>
          <c:dLbls>
            <c:dLbl>
              <c:idx val="5"/>
              <c:layout>
                <c:manualLayout>
                  <c:x val="6.5681444991789817E-3"/>
                  <c:y val="4.45930880713489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Лист1!$H$2:$H$9</c:f>
              <c:numCache>
                <c:formatCode>General</c:formatCode>
                <c:ptCount val="8"/>
                <c:pt idx="0">
                  <c:v>20.8</c:v>
                </c:pt>
                <c:pt idx="1">
                  <c:v>20.5</c:v>
                </c:pt>
                <c:pt idx="2">
                  <c:v>19.2</c:v>
                </c:pt>
                <c:pt idx="3">
                  <c:v>19.100000000000001</c:v>
                </c:pt>
                <c:pt idx="4">
                  <c:v>19</c:v>
                </c:pt>
                <c:pt idx="5">
                  <c:v>20.8</c:v>
                </c:pt>
                <c:pt idx="6">
                  <c:v>23.8</c:v>
                </c:pt>
                <c:pt idx="7">
                  <c:v>26.5</c:v>
                </c:pt>
              </c:numCache>
            </c:numRef>
          </c:val>
        </c:ser>
        <c:dLbls>
          <c:showLegendKey val="0"/>
          <c:showVal val="0"/>
          <c:showCatName val="0"/>
          <c:showSerName val="0"/>
          <c:showPercent val="0"/>
          <c:showBubbleSize val="0"/>
        </c:dLbls>
        <c:gapWidth val="219"/>
        <c:overlap val="-27"/>
        <c:axId val="383096496"/>
        <c:axId val="383097280"/>
      </c:barChart>
      <c:catAx>
        <c:axId val="383096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solidFill>
                      <a:sysClr val="windowText" lastClr="000000"/>
                    </a:solidFill>
                  </a:rPr>
                  <a:t>%</a:t>
                </a:r>
              </a:p>
            </c:rich>
          </c:tx>
          <c:layout>
            <c:manualLayout>
              <c:xMode val="edge"/>
              <c:yMode val="edge"/>
              <c:x val="9.2272948640040701E-3"/>
              <c:y val="4.1008084691754876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ru-RU"/>
          </a:p>
        </c:txPr>
        <c:crossAx val="383097280"/>
        <c:crosses val="autoZero"/>
        <c:auto val="1"/>
        <c:lblAlgn val="ctr"/>
        <c:lblOffset val="100"/>
        <c:noMultiLvlLbl val="0"/>
      </c:catAx>
      <c:valAx>
        <c:axId val="38309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ru-RU"/>
          </a:p>
        </c:txPr>
        <c:crossAx val="383096496"/>
        <c:crosses val="autoZero"/>
        <c:crossBetween val="between"/>
      </c:valAx>
      <c:spPr>
        <a:noFill/>
        <a:ln>
          <a:noFill/>
        </a:ln>
        <a:effectLst/>
      </c:spPr>
    </c:plotArea>
    <c:legend>
      <c:legendPos val="b"/>
      <c:layout>
        <c:manualLayout>
          <c:xMode val="edge"/>
          <c:yMode val="edge"/>
          <c:x val="2.1893814997263273E-2"/>
          <c:y val="0.84336519807933708"/>
          <c:w val="0.95050842782583211"/>
          <c:h val="0.14325687549925825"/>
        </c:manualLayout>
      </c:layout>
      <c:overlay val="0"/>
      <c:spPr>
        <a:noFill/>
        <a:ln>
          <a:noFill/>
        </a:ln>
        <a:effectLst/>
      </c:spPr>
      <c:txPr>
        <a:bodyPr rot="0" spcFirstLastPara="1" vertOverflow="ellipsis" vert="horz" wrap="square" anchor="ctr" anchorCtr="1"/>
        <a:lstStyle/>
        <a:p>
          <a:pPr>
            <a:lnSpc>
              <a:spcPct val="50000"/>
            </a:lnSpc>
            <a:defRPr sz="8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477578233755262E-2"/>
          <c:y val="8.4726867335562991E-2"/>
          <c:w val="0.92343922526925515"/>
          <c:h val="0.67211299256489265"/>
        </c:manualLayout>
      </c:layout>
      <c:barChart>
        <c:barDir val="col"/>
        <c:grouping val="clustered"/>
        <c:varyColors val="0"/>
        <c:ser>
          <c:idx val="0"/>
          <c:order val="0"/>
          <c:tx>
            <c:strRef>
              <c:f>Лист1!$B$1</c:f>
              <c:strCache>
                <c:ptCount val="1"/>
                <c:pt idx="0">
                  <c:v>на срок свыше 3 лет</c:v>
                </c:pt>
              </c:strCache>
            </c:strRef>
          </c:tx>
          <c:spPr>
            <a:solidFill>
              <a:srgbClr val="C043FF"/>
            </a:solidFill>
            <a:ln>
              <a:noFill/>
            </a:ln>
            <a:effectLst/>
          </c:spPr>
          <c:invertIfNegative val="0"/>
          <c:dLbls>
            <c:dLbl>
              <c:idx val="0"/>
              <c:layout>
                <c:manualLayout>
                  <c:x val="-8.7575259989053095E-3"/>
                  <c:y val="4.459308807134812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911074740861976E-2"/>
                  <c:y val="1.33777903169269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5609065642572096E-3"/>
                  <c:y val="1.33777903169269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5681444991790624E-3"/>
                  <c:y val="1.33779264214046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716466701891393E-3"/>
                  <c:y val="1.337779031692691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5466448445171853E-3"/>
                  <c:y val="1.302931596091205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7360765665339297E-3"/>
                  <c:y val="8.9187548624825811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5681444991791422E-3"/>
                  <c:y val="1.33779264214046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43FF"/>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12.7</c:v>
                </c:pt>
                <c:pt idx="1">
                  <c:v>13.9</c:v>
                </c:pt>
                <c:pt idx="2">
                  <c:v>10.5</c:v>
                </c:pt>
                <c:pt idx="3">
                  <c:v>4.9000000000000004</c:v>
                </c:pt>
                <c:pt idx="4">
                  <c:v>6.4</c:v>
                </c:pt>
                <c:pt idx="5">
                  <c:v>9.1999999999999993</c:v>
                </c:pt>
                <c:pt idx="6">
                  <c:v>10.3</c:v>
                </c:pt>
                <c:pt idx="7">
                  <c:v>9.8000000000000007</c:v>
                </c:pt>
              </c:numCache>
            </c:numRef>
          </c:val>
        </c:ser>
        <c:ser>
          <c:idx val="1"/>
          <c:order val="1"/>
          <c:tx>
            <c:strRef>
              <c:f>Лист1!$C$1</c:f>
              <c:strCache>
                <c:ptCount val="1"/>
                <c:pt idx="0">
                  <c:v>на срок от 1 года до 3 лет</c:v>
                </c:pt>
              </c:strCache>
            </c:strRef>
          </c:tx>
          <c:spPr>
            <a:solidFill>
              <a:srgbClr val="B03A75"/>
            </a:solidFill>
            <a:ln>
              <a:noFill/>
            </a:ln>
            <a:effectLst/>
          </c:spPr>
          <c:invertIfNegative val="0"/>
          <c:dLbls>
            <c:dLbl>
              <c:idx val="3"/>
              <c:layout>
                <c:manualLayout>
                  <c:x val="-2.8695267428723618E-5"/>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B03A75"/>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59</c:v>
                </c:pt>
                <c:pt idx="1">
                  <c:v>60</c:v>
                </c:pt>
                <c:pt idx="2">
                  <c:v>51.2</c:v>
                </c:pt>
                <c:pt idx="3">
                  <c:v>51.1</c:v>
                </c:pt>
                <c:pt idx="4">
                  <c:v>61.8</c:v>
                </c:pt>
                <c:pt idx="5">
                  <c:v>53.7</c:v>
                </c:pt>
                <c:pt idx="6">
                  <c:v>41.7</c:v>
                </c:pt>
                <c:pt idx="7">
                  <c:v>48.1</c:v>
                </c:pt>
              </c:numCache>
            </c:numRef>
          </c:val>
        </c:ser>
        <c:ser>
          <c:idx val="2"/>
          <c:order val="2"/>
          <c:tx>
            <c:strRef>
              <c:f>Лист1!$D$1</c:f>
              <c:strCache>
                <c:ptCount val="1"/>
                <c:pt idx="0">
                  <c:v>на срок от 181 дня до 1 года</c:v>
                </c:pt>
              </c:strCache>
            </c:strRef>
          </c:tx>
          <c:spPr>
            <a:solidFill>
              <a:srgbClr val="2B8156"/>
            </a:solidFill>
            <a:ln>
              <a:noFill/>
            </a:ln>
            <a:effectLst/>
          </c:spPr>
          <c:invertIfNegative val="0"/>
          <c:dLbls>
            <c:dLbl>
              <c:idx val="0"/>
              <c:layout>
                <c:manualLayout>
                  <c:x val="1.093255323444633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568144499178981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0946986782135008E-2"/>
                  <c:y val="1.302931596091205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8005120472870509E-3"/>
                  <c:y val="1.33777903169269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0946907498631636E-2"/>
                  <c:y val="1.33779264214046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8.7073812991050464E-3"/>
                  <c:y val="9.267229218497445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6.5896018316859333E-3"/>
                  <c:y val="1.783716774816820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4.400341937617863E-3"/>
                  <c:y val="8.918754862482581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2B8156"/>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0">
                  <c:v>14.9</c:v>
                </c:pt>
                <c:pt idx="1">
                  <c:v>13.1</c:v>
                </c:pt>
                <c:pt idx="2">
                  <c:v>20.9</c:v>
                </c:pt>
                <c:pt idx="3">
                  <c:v>31.8</c:v>
                </c:pt>
                <c:pt idx="4">
                  <c:v>15</c:v>
                </c:pt>
                <c:pt idx="5">
                  <c:v>14.7</c:v>
                </c:pt>
                <c:pt idx="6">
                  <c:v>24.2</c:v>
                </c:pt>
                <c:pt idx="7">
                  <c:v>16</c:v>
                </c:pt>
              </c:numCache>
            </c:numRef>
          </c:val>
        </c:ser>
        <c:ser>
          <c:idx val="3"/>
          <c:order val="3"/>
          <c:tx>
            <c:strRef>
              <c:f>Лист1!$E$1</c:f>
              <c:strCache>
                <c:ptCount val="1"/>
                <c:pt idx="0">
                  <c:v>на срок от 91 до 180 дней</c:v>
                </c:pt>
              </c:strCache>
            </c:strRef>
          </c:tx>
          <c:spPr>
            <a:solidFill>
              <a:srgbClr val="E3DE00"/>
            </a:solidFill>
            <a:ln>
              <a:noFill/>
            </a:ln>
            <a:effectLst/>
          </c:spPr>
          <c:invertIfNegative val="0"/>
          <c:dLbls>
            <c:dLbl>
              <c:idx val="0"/>
              <c:layout>
                <c:manualLayout>
                  <c:x val="4.3786916160848139E-3"/>
                  <c:y val="-3.063428146400266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605863192182410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568144499178981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7575550601182231E-3"/>
                  <c:y val="-3.908794788273615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3859083899290838E-3"/>
                  <c:y val="-3.45122983405576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2323887091854127E-3"/>
                  <c:y val="-3.0169193020253497E-2"/>
                </c:manualLayout>
              </c:layout>
              <c:tx>
                <c:rich>
                  <a:bodyPr/>
                  <a:lstStyle/>
                  <a:p>
                    <a:fld id="{B3EE0689-F0E1-4615-A135-3509796844C7}" type="VALUE">
                      <a:rPr lang="en-US" b="1"/>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0"/>
                  <c:y val="-2.605863192182410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1964766679122591E-3"/>
                  <c:y val="-2.605863192182410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E3DE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Лист1!$E$2:$E$9</c:f>
              <c:numCache>
                <c:formatCode>General</c:formatCode>
                <c:ptCount val="8"/>
                <c:pt idx="0">
                  <c:v>2.2999999999999998</c:v>
                </c:pt>
                <c:pt idx="1">
                  <c:v>2</c:v>
                </c:pt>
                <c:pt idx="2">
                  <c:v>4</c:v>
                </c:pt>
                <c:pt idx="3">
                  <c:v>1.8</c:v>
                </c:pt>
                <c:pt idx="4">
                  <c:v>1.4</c:v>
                </c:pt>
                <c:pt idx="5">
                  <c:v>1.3</c:v>
                </c:pt>
                <c:pt idx="6">
                  <c:v>1.5</c:v>
                </c:pt>
                <c:pt idx="7">
                  <c:v>1.4</c:v>
                </c:pt>
              </c:numCache>
            </c:numRef>
          </c:val>
        </c:ser>
        <c:ser>
          <c:idx val="4"/>
          <c:order val="4"/>
          <c:tx>
            <c:strRef>
              <c:f>Лист1!$F$1</c:f>
              <c:strCache>
                <c:ptCount val="1"/>
                <c:pt idx="0">
                  <c:v>на срок от 31 до 90 дней</c:v>
                </c:pt>
              </c:strCache>
            </c:strRef>
          </c:tx>
          <c:spPr>
            <a:solidFill>
              <a:srgbClr val="00FF00"/>
            </a:solidFill>
            <a:ln>
              <a:noFill/>
            </a:ln>
            <a:effectLst/>
          </c:spPr>
          <c:invertIfNegative val="0"/>
          <c:dLbls>
            <c:dLbl>
              <c:idx val="1"/>
              <c:layout>
                <c:manualLayout>
                  <c:x val="-4.00068118877224E-17"/>
                  <c:y val="3.4847435601486476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893814997263274E-3"/>
                  <c:y val="1.33779264214046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5681444991789817E-3"/>
                  <c:y val="4.459308807134812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3787629994526548E-3"/>
                  <c:y val="-1.6350610075851762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5609065642572096E-3"/>
                  <c:y val="-8.686210640608035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4.3786916160848139E-3"/>
                  <c:y val="-3.994630964289152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6.5681233381013988E-3"/>
                  <c:y val="-8.686210640608035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FF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Лист1!$F$2:$F$9</c:f>
              <c:numCache>
                <c:formatCode>General</c:formatCode>
                <c:ptCount val="8"/>
                <c:pt idx="0">
                  <c:v>1</c:v>
                </c:pt>
                <c:pt idx="1">
                  <c:v>0.9</c:v>
                </c:pt>
                <c:pt idx="2">
                  <c:v>2.1</c:v>
                </c:pt>
                <c:pt idx="3">
                  <c:v>0.6</c:v>
                </c:pt>
                <c:pt idx="4">
                  <c:v>0.4</c:v>
                </c:pt>
                <c:pt idx="5">
                  <c:v>0.3</c:v>
                </c:pt>
                <c:pt idx="6">
                  <c:v>0.5</c:v>
                </c:pt>
                <c:pt idx="7">
                  <c:v>0.3</c:v>
                </c:pt>
              </c:numCache>
            </c:numRef>
          </c:val>
        </c:ser>
        <c:ser>
          <c:idx val="5"/>
          <c:order val="5"/>
          <c:tx>
            <c:strRef>
              <c:f>Лист1!$G$1</c:f>
              <c:strCache>
                <c:ptCount val="1"/>
                <c:pt idx="0">
                  <c:v>на срок до 30 дней</c:v>
                </c:pt>
              </c:strCache>
            </c:strRef>
          </c:tx>
          <c:spPr>
            <a:solidFill>
              <a:srgbClr val="FF7C80"/>
            </a:solidFill>
            <a:ln>
              <a:noFill/>
            </a:ln>
            <a:effectLst/>
          </c:spPr>
          <c:invertIfNegative val="0"/>
          <c:dLbls>
            <c:dLbl>
              <c:idx val="0"/>
              <c:layout>
                <c:manualLayout>
                  <c:x val="-2.1822149481724152E-3"/>
                  <c:y val="2.206400095753495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0138197148437415E-17"/>
                  <c:y val="1.78372352285394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5466448445171853E-3"/>
                  <c:y val="2.6407106277839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1893814997263274E-3"/>
                  <c:y val="2.675585284280936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3644298963447896E-3"/>
                  <c:y val="3.0866483709080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1893814997263274E-3"/>
                  <c:y val="2.675585284280928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675585284280928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1822149481723948E-3"/>
                  <c:y val="2.663965049971359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Лист1!$G$2:$G$9</c:f>
              <c:numCache>
                <c:formatCode>General</c:formatCode>
                <c:ptCount val="8"/>
                <c:pt idx="0">
                  <c:v>0.1</c:v>
                </c:pt>
                <c:pt idx="1">
                  <c:v>0.1</c:v>
                </c:pt>
                <c:pt idx="2">
                  <c:v>0.1</c:v>
                </c:pt>
                <c:pt idx="3">
                  <c:v>0.1</c:v>
                </c:pt>
                <c:pt idx="4">
                  <c:v>0.2</c:v>
                </c:pt>
                <c:pt idx="5">
                  <c:v>0.1</c:v>
                </c:pt>
                <c:pt idx="6">
                  <c:v>0.1</c:v>
                </c:pt>
                <c:pt idx="7">
                  <c:v>0.1</c:v>
                </c:pt>
              </c:numCache>
            </c:numRef>
          </c:val>
        </c:ser>
        <c:ser>
          <c:idx val="6"/>
          <c:order val="6"/>
          <c:tx>
            <c:strRef>
              <c:f>Лист1!$H$1</c:f>
              <c:strCache>
                <c:ptCount val="1"/>
                <c:pt idx="0">
                  <c:v>до востребования</c:v>
                </c:pt>
              </c:strCache>
            </c:strRef>
          </c:tx>
          <c:spPr>
            <a:solidFill>
              <a:srgbClr val="0070C0"/>
            </a:solidFill>
            <a:ln>
              <a:noFill/>
            </a:ln>
            <a:effectLst/>
          </c:spPr>
          <c:invertIfNegative val="0"/>
          <c:dLbls>
            <c:dLbl>
              <c:idx val="0"/>
              <c:layout>
                <c:manualLayout>
                  <c:x val="-2.1822149481723948E-3"/>
                  <c:y val="1.302931596091197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182214948172435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5681444991789817E-3"/>
                  <c:y val="4.45930880713489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Лист1!$H$2:$H$9</c:f>
              <c:numCache>
                <c:formatCode>General</c:formatCode>
                <c:ptCount val="8"/>
                <c:pt idx="0">
                  <c:v>9.9</c:v>
                </c:pt>
                <c:pt idx="1">
                  <c:v>10</c:v>
                </c:pt>
                <c:pt idx="2">
                  <c:v>11.2</c:v>
                </c:pt>
                <c:pt idx="3">
                  <c:v>9.6999999999999993</c:v>
                </c:pt>
                <c:pt idx="4">
                  <c:v>14.8</c:v>
                </c:pt>
                <c:pt idx="5">
                  <c:v>20.6</c:v>
                </c:pt>
                <c:pt idx="6">
                  <c:v>21.6</c:v>
                </c:pt>
                <c:pt idx="7">
                  <c:v>24.2</c:v>
                </c:pt>
              </c:numCache>
            </c:numRef>
          </c:val>
        </c:ser>
        <c:dLbls>
          <c:showLegendKey val="0"/>
          <c:showVal val="0"/>
          <c:showCatName val="0"/>
          <c:showSerName val="0"/>
          <c:showPercent val="0"/>
          <c:showBubbleSize val="0"/>
        </c:dLbls>
        <c:gapWidth val="219"/>
        <c:overlap val="-27"/>
        <c:axId val="383106296"/>
        <c:axId val="383104728"/>
      </c:barChart>
      <c:catAx>
        <c:axId val="383106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solidFill>
                      <a:sysClr val="windowText" lastClr="000000"/>
                    </a:solidFill>
                  </a:rPr>
                  <a:t>%</a:t>
                </a:r>
              </a:p>
            </c:rich>
          </c:tx>
          <c:layout>
            <c:manualLayout>
              <c:xMode val="edge"/>
              <c:yMode val="edge"/>
              <c:x val="9.2272948640040701E-3"/>
              <c:y val="4.1008084691754876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ru-RU"/>
          </a:p>
        </c:txPr>
        <c:crossAx val="383104728"/>
        <c:crosses val="autoZero"/>
        <c:auto val="1"/>
        <c:lblAlgn val="ctr"/>
        <c:lblOffset val="100"/>
        <c:noMultiLvlLbl val="0"/>
      </c:catAx>
      <c:valAx>
        <c:axId val="383104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ru-RU"/>
          </a:p>
        </c:txPr>
        <c:crossAx val="383106296"/>
        <c:crosses val="autoZero"/>
        <c:crossBetween val="between"/>
      </c:valAx>
      <c:spPr>
        <a:noFill/>
        <a:ln>
          <a:noFill/>
        </a:ln>
        <a:effectLst/>
      </c:spPr>
    </c:plotArea>
    <c:legend>
      <c:legendPos val="b"/>
      <c:layout>
        <c:manualLayout>
          <c:xMode val="edge"/>
          <c:yMode val="edge"/>
          <c:x val="2.1893814997263273E-2"/>
          <c:y val="0.84336519807933708"/>
          <c:w val="0.95050842782583211"/>
          <c:h val="0.14325687549925825"/>
        </c:manualLayout>
      </c:layout>
      <c:overlay val="0"/>
      <c:spPr>
        <a:noFill/>
        <a:ln>
          <a:noFill/>
        </a:ln>
        <a:effectLst/>
      </c:spPr>
      <c:txPr>
        <a:bodyPr rot="0" spcFirstLastPara="1" vertOverflow="ellipsis" vert="horz" wrap="square" anchor="ctr" anchorCtr="1"/>
        <a:lstStyle/>
        <a:p>
          <a:pPr>
            <a:lnSpc>
              <a:spcPct val="50000"/>
            </a:lnSpc>
            <a:defRPr sz="8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2020-09-12T17:36:00Z</dcterms:created>
  <dcterms:modified xsi:type="dcterms:W3CDTF">2020-09-12T17:36:00Z</dcterms:modified>
</cp:coreProperties>
</file>