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989C5" w14:textId="77777777" w:rsidR="00A1727F" w:rsidRDefault="00A1727F" w:rsidP="004245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41145295"/>
      <w:bookmarkStart w:id="1" w:name="_Hlk39602561"/>
      <w:bookmarkEnd w:id="0"/>
      <w:r>
        <w:rPr>
          <w:rFonts w:ascii="Times New Roman" w:hAnsi="Times New Roman"/>
          <w:sz w:val="28"/>
          <w:szCs w:val="28"/>
        </w:rPr>
        <w:t>Статистический анализ уровня оплаты труда по предприятиям различных видов экономической деятельности РФ</w:t>
      </w:r>
    </w:p>
    <w:p w14:paraId="2CA2DED5" w14:textId="56891122" w:rsidR="00A1727F" w:rsidRPr="00A1727F" w:rsidRDefault="00A1727F" w:rsidP="0042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7F">
        <w:rPr>
          <w:rFonts w:ascii="Times New Roman" w:hAnsi="Times New Roman"/>
          <w:sz w:val="28"/>
          <w:szCs w:val="28"/>
        </w:rPr>
        <w:t>Крючкова Анастасия Дмитриевна</w:t>
      </w:r>
    </w:p>
    <w:p w14:paraId="7D9DFB54" w14:textId="77777777" w:rsidR="00A1727F" w:rsidRPr="00A1727F" w:rsidRDefault="00A1727F" w:rsidP="0042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7F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0BFAEA4" w14:textId="77777777" w:rsidR="00A1727F" w:rsidRPr="00A1727F" w:rsidRDefault="00A1727F" w:rsidP="0042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7F">
        <w:rPr>
          <w:rFonts w:ascii="Times New Roman" w:hAnsi="Times New Roman"/>
          <w:sz w:val="28"/>
          <w:szCs w:val="28"/>
        </w:rPr>
        <w:t>высшего образования</w:t>
      </w:r>
    </w:p>
    <w:p w14:paraId="325C6533" w14:textId="6B49F90C" w:rsidR="00A1727F" w:rsidRDefault="00A1727F" w:rsidP="0042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7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Государственный университет управления</w:t>
      </w:r>
      <w:r w:rsidRPr="00A172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институт экономики и финансов, кафедра статистики, г. Москва, Россия</w:t>
      </w:r>
    </w:p>
    <w:p w14:paraId="1D41C148" w14:textId="3EEF9763" w:rsidR="00EB1853" w:rsidRDefault="00EB1853" w:rsidP="004245C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</w:t>
      </w:r>
    </w:p>
    <w:p w14:paraId="31B1FCBD" w14:textId="22C57816" w:rsidR="00CA1011" w:rsidRDefault="00CA1011" w:rsidP="0042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работе </w:t>
      </w:r>
      <w:r w:rsidR="001B7C55">
        <w:rPr>
          <w:rFonts w:ascii="Times New Roman" w:hAnsi="Times New Roman"/>
          <w:sz w:val="28"/>
          <w:szCs w:val="28"/>
        </w:rPr>
        <w:t>были рассмотрены уро</w:t>
      </w:r>
      <w:r w:rsidR="00F86A37">
        <w:rPr>
          <w:rFonts w:ascii="Times New Roman" w:hAnsi="Times New Roman"/>
          <w:sz w:val="28"/>
          <w:szCs w:val="28"/>
        </w:rPr>
        <w:t>в</w:t>
      </w:r>
      <w:r w:rsidR="001B7C55">
        <w:rPr>
          <w:rFonts w:ascii="Times New Roman" w:hAnsi="Times New Roman"/>
          <w:sz w:val="28"/>
          <w:szCs w:val="28"/>
        </w:rPr>
        <w:t>ни оплаты труда по 18 видам экономической деятельности</w:t>
      </w:r>
      <w:r w:rsidR="004C720D">
        <w:rPr>
          <w:rFonts w:ascii="Times New Roman" w:hAnsi="Times New Roman"/>
          <w:sz w:val="28"/>
          <w:szCs w:val="28"/>
        </w:rPr>
        <w:t xml:space="preserve"> (ВЭД)</w:t>
      </w:r>
      <w:r w:rsidR="001B7C55">
        <w:rPr>
          <w:rFonts w:ascii="Times New Roman" w:hAnsi="Times New Roman"/>
          <w:sz w:val="28"/>
          <w:szCs w:val="28"/>
        </w:rPr>
        <w:t xml:space="preserve">. </w:t>
      </w:r>
    </w:p>
    <w:p w14:paraId="2BA97DE2" w14:textId="0C9CA0FD" w:rsidR="009459B2" w:rsidRDefault="009459B2" w:rsidP="0042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Проблемой данного исследования является достаточно высокая дифференциация оплаты труда по различным видам деятельности.</w:t>
      </w:r>
      <w:r w:rsidR="00A02588">
        <w:rPr>
          <w:rFonts w:ascii="Times New Roman" w:hAnsi="Times New Roman"/>
          <w:sz w:val="28"/>
          <w:szCs w:val="28"/>
        </w:rPr>
        <w:t xml:space="preserve"> </w:t>
      </w:r>
    </w:p>
    <w:p w14:paraId="7B010FFC" w14:textId="77777777" w:rsidR="00A02588" w:rsidRDefault="0047031D" w:rsidP="004245C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исследования объясняется тем, что оплата труда оказывает влияние на конкурентоспособность экономики страны и способствует экономическому развитию.</w:t>
      </w:r>
      <w:r w:rsidR="00A02588">
        <w:rPr>
          <w:rFonts w:ascii="Times New Roman" w:hAnsi="Times New Roman"/>
          <w:sz w:val="28"/>
          <w:szCs w:val="28"/>
        </w:rPr>
        <w:t xml:space="preserve"> </w:t>
      </w:r>
      <w:r w:rsidR="00A02588" w:rsidRPr="00A02588">
        <w:rPr>
          <w:rFonts w:ascii="Times New Roman" w:hAnsi="Times New Roman"/>
          <w:sz w:val="28"/>
          <w:szCs w:val="28"/>
        </w:rPr>
        <w:t>Заработная плата для большинства людей выступает основным источником доходов, без которого они будут лишены средств к существованию</w:t>
      </w:r>
      <w:r w:rsidR="00A02588" w:rsidRPr="00A02588">
        <w:rPr>
          <w:rFonts w:ascii="Times New Roman" w:hAnsi="Times New Roman"/>
          <w:b/>
          <w:bCs/>
          <w:sz w:val="28"/>
          <w:szCs w:val="28"/>
        </w:rPr>
        <w:t>.</w:t>
      </w:r>
    </w:p>
    <w:p w14:paraId="39766D82" w14:textId="6FD8B7D7" w:rsidR="00872B19" w:rsidRDefault="0047031D" w:rsidP="0042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данного исследования является </w:t>
      </w:r>
      <w:r w:rsidR="00872B19">
        <w:rPr>
          <w:rFonts w:ascii="Times New Roman" w:hAnsi="Times New Roman"/>
          <w:sz w:val="28"/>
          <w:szCs w:val="28"/>
        </w:rPr>
        <w:t>выявление дифференциации заработной платы по различным видам экономической деятельности</w:t>
      </w:r>
      <w:r w:rsidR="00511D55">
        <w:rPr>
          <w:rFonts w:ascii="Times New Roman" w:hAnsi="Times New Roman"/>
          <w:sz w:val="28"/>
          <w:szCs w:val="28"/>
        </w:rPr>
        <w:t xml:space="preserve">, </w:t>
      </w:r>
      <w:r w:rsidR="00C642C6">
        <w:rPr>
          <w:rFonts w:ascii="Times New Roman" w:hAnsi="Times New Roman"/>
          <w:sz w:val="28"/>
          <w:szCs w:val="28"/>
        </w:rPr>
        <w:t>доказательство влияния образования на уровень заработной платы</w:t>
      </w:r>
      <w:r w:rsidR="00565566">
        <w:rPr>
          <w:rFonts w:ascii="Times New Roman" w:hAnsi="Times New Roman"/>
          <w:sz w:val="28"/>
          <w:szCs w:val="28"/>
        </w:rPr>
        <w:t xml:space="preserve"> по видам экономической деятельности</w:t>
      </w:r>
      <w:r w:rsidR="00511D55">
        <w:rPr>
          <w:rFonts w:ascii="Times New Roman" w:hAnsi="Times New Roman"/>
          <w:sz w:val="28"/>
          <w:szCs w:val="28"/>
        </w:rPr>
        <w:t>, выявление перспективных видов деятельности с точки зрения роста среднемесячной заработной платы.</w:t>
      </w:r>
    </w:p>
    <w:p w14:paraId="2E6C569F" w14:textId="68119A34" w:rsidR="00BE094B" w:rsidRDefault="0075210D" w:rsidP="0042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</w:t>
      </w:r>
      <w:r w:rsidR="0055654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данного</w:t>
      </w:r>
      <w:r w:rsidR="006427FA">
        <w:rPr>
          <w:rFonts w:ascii="Times New Roman" w:hAnsi="Times New Roman"/>
          <w:sz w:val="28"/>
          <w:szCs w:val="28"/>
        </w:rPr>
        <w:t xml:space="preserve"> исследования является </w:t>
      </w:r>
      <w:r w:rsidR="00A668C9">
        <w:rPr>
          <w:rFonts w:ascii="Times New Roman" w:hAnsi="Times New Roman"/>
          <w:sz w:val="28"/>
          <w:szCs w:val="28"/>
        </w:rPr>
        <w:t>экономико-</w:t>
      </w:r>
      <w:r w:rsidR="006427FA">
        <w:rPr>
          <w:rFonts w:ascii="Times New Roman" w:hAnsi="Times New Roman"/>
          <w:sz w:val="28"/>
          <w:szCs w:val="28"/>
        </w:rPr>
        <w:t>статистический анализ.</w:t>
      </w:r>
    </w:p>
    <w:p w14:paraId="455161CD" w14:textId="766E6995" w:rsidR="0047031D" w:rsidRPr="009459B2" w:rsidRDefault="009459B2" w:rsidP="004245C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459B2">
        <w:rPr>
          <w:rFonts w:ascii="Times New Roman" w:hAnsi="Times New Roman"/>
          <w:b/>
          <w:bCs/>
          <w:sz w:val="28"/>
          <w:szCs w:val="28"/>
        </w:rPr>
        <w:t>Ключевые слова: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27FA" w:rsidRPr="006427FA">
        <w:rPr>
          <w:rFonts w:ascii="Times New Roman" w:hAnsi="Times New Roman"/>
          <w:sz w:val="28"/>
          <w:szCs w:val="28"/>
        </w:rPr>
        <w:t>среднемесячная начисленная номинальная заработная плата, виды экономической деятельности,</w:t>
      </w:r>
      <w:r w:rsidR="006427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6851" w:rsidRPr="00736851">
        <w:rPr>
          <w:rFonts w:ascii="Times New Roman" w:hAnsi="Times New Roman"/>
          <w:sz w:val="28"/>
          <w:szCs w:val="28"/>
        </w:rPr>
        <w:t>экономико</w:t>
      </w:r>
      <w:r w:rsidR="00736851">
        <w:rPr>
          <w:rFonts w:ascii="Times New Roman" w:hAnsi="Times New Roman"/>
          <w:b/>
          <w:bCs/>
          <w:sz w:val="28"/>
          <w:szCs w:val="28"/>
        </w:rPr>
        <w:t>-</w:t>
      </w:r>
      <w:r w:rsidR="00B70A89" w:rsidRPr="00B70A89">
        <w:rPr>
          <w:rFonts w:ascii="Times New Roman" w:hAnsi="Times New Roman"/>
          <w:sz w:val="28"/>
          <w:szCs w:val="28"/>
        </w:rPr>
        <w:t>статистический анализ</w:t>
      </w:r>
    </w:p>
    <w:p w14:paraId="4502FDF6" w14:textId="6C88E9DF" w:rsidR="0047031D" w:rsidRPr="00CB1E83" w:rsidRDefault="00CB1E83" w:rsidP="004245C3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B1E83">
        <w:rPr>
          <w:rFonts w:ascii="Times New Roman" w:hAnsi="Times New Roman"/>
          <w:b/>
          <w:bCs/>
          <w:sz w:val="28"/>
          <w:szCs w:val="28"/>
        </w:rPr>
        <w:t>Введение</w:t>
      </w:r>
    </w:p>
    <w:p w14:paraId="2F3197E8" w14:textId="4F1DBB74" w:rsidR="00D87C3C" w:rsidRDefault="00D87C3C" w:rsidP="0042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C">
        <w:rPr>
          <w:rFonts w:ascii="Times New Roman" w:hAnsi="Times New Roman"/>
          <w:sz w:val="28"/>
          <w:szCs w:val="28"/>
        </w:rPr>
        <w:t xml:space="preserve">Одним из важнейших элементов состояния и развития современной экономики, а также индикатором уровня жизни населения является оплата </w:t>
      </w:r>
      <w:r w:rsidRPr="00D87C3C">
        <w:rPr>
          <w:rFonts w:ascii="Times New Roman" w:hAnsi="Times New Roman"/>
          <w:sz w:val="28"/>
          <w:szCs w:val="28"/>
        </w:rPr>
        <w:lastRenderedPageBreak/>
        <w:t xml:space="preserve">труда. Она представляет собой оценку труда социумом и зависит от ряда факторов: квалификации, занимаемой должности, вида экономической деятельности, географического положения и т. д. </w:t>
      </w:r>
    </w:p>
    <w:p w14:paraId="42AD2E5A" w14:textId="71D73638" w:rsidR="00D87C3C" w:rsidRDefault="00D87C3C" w:rsidP="0042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C">
        <w:rPr>
          <w:rFonts w:ascii="Times New Roman" w:hAnsi="Times New Roman"/>
          <w:sz w:val="28"/>
          <w:szCs w:val="28"/>
        </w:rPr>
        <w:t>Заработная плата, с одной стороны, выступает основным источником повышения материального благосостояния людей и улучшения качества их жизни, расширения спектра потребностей, а с другой – является мощным рычагом воздействия работников для повышения эффективности трудовой деятельности.</w:t>
      </w:r>
    </w:p>
    <w:p w14:paraId="68480192" w14:textId="7C40874F" w:rsidR="00D87C3C" w:rsidRPr="00D87C3C" w:rsidRDefault="00D87C3C" w:rsidP="0042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исследовании </w:t>
      </w:r>
      <w:r w:rsidR="00C7616A">
        <w:rPr>
          <w:rFonts w:ascii="Times New Roman" w:hAnsi="Times New Roman"/>
          <w:sz w:val="28"/>
          <w:szCs w:val="28"/>
        </w:rPr>
        <w:t>будет проанализирована дифференциации среднемесячной номинальной заработной платы по видам экономической деятельности, её динамика, а также произведена группировка видов экономической деятельности по размеру среднемесячной начисленной заработной плате и доле занятых с высшим образованием.</w:t>
      </w:r>
    </w:p>
    <w:p w14:paraId="5B80FB4F" w14:textId="67EE84BC" w:rsidR="00CB1E83" w:rsidRDefault="00DE28A5" w:rsidP="0042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</w:t>
      </w:r>
      <w:r w:rsidR="00D87C3C">
        <w:rPr>
          <w:rFonts w:ascii="Times New Roman" w:hAnsi="Times New Roman"/>
          <w:sz w:val="28"/>
          <w:szCs w:val="28"/>
        </w:rPr>
        <w:t xml:space="preserve">анные по размеру среднемесячной номинальной заработной платы были взяты с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="00D87C3C">
        <w:rPr>
          <w:rFonts w:ascii="Times New Roman" w:hAnsi="Times New Roman"/>
          <w:sz w:val="28"/>
          <w:szCs w:val="28"/>
        </w:rPr>
        <w:t>сайта Федеральной службы государственной статистики.</w:t>
      </w:r>
    </w:p>
    <w:p w14:paraId="4466FDF5" w14:textId="0351D782" w:rsidR="003850FB" w:rsidRPr="003850FB" w:rsidRDefault="003850FB" w:rsidP="004245C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850FB">
        <w:rPr>
          <w:rFonts w:ascii="Times New Roman" w:hAnsi="Times New Roman"/>
          <w:b/>
          <w:bCs/>
          <w:sz w:val="28"/>
          <w:szCs w:val="28"/>
        </w:rPr>
        <w:t>Гипотезы:</w:t>
      </w:r>
    </w:p>
    <w:p w14:paraId="75C55697" w14:textId="624A787A" w:rsidR="003850FB" w:rsidRDefault="003850FB" w:rsidP="004245C3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0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Дифференциация заработной платы по видам экономической деятельности сохраняет свою актуальность </w:t>
      </w:r>
    </w:p>
    <w:p w14:paraId="5DFCD0A3" w14:textId="16ECF001" w:rsidR="003850FB" w:rsidRPr="003850FB" w:rsidRDefault="003850FB" w:rsidP="0042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A67DB">
        <w:rPr>
          <w:rFonts w:ascii="Times New Roman" w:hAnsi="Times New Roman"/>
          <w:sz w:val="28"/>
          <w:szCs w:val="28"/>
        </w:rPr>
        <w:t xml:space="preserve"> </w:t>
      </w:r>
      <w:r w:rsidR="0019540D">
        <w:rPr>
          <w:rFonts w:ascii="Times New Roman" w:hAnsi="Times New Roman"/>
          <w:sz w:val="28"/>
          <w:szCs w:val="28"/>
        </w:rPr>
        <w:t>Одним из наиболее важных факторов, влияющих на уровень заработной платы</w:t>
      </w:r>
      <w:r w:rsidR="003250A5">
        <w:rPr>
          <w:rFonts w:ascii="Times New Roman" w:hAnsi="Times New Roman"/>
          <w:sz w:val="28"/>
          <w:szCs w:val="28"/>
        </w:rPr>
        <w:t xml:space="preserve"> по видам экономической деятель</w:t>
      </w:r>
      <w:r w:rsidR="001F4DAE">
        <w:rPr>
          <w:rFonts w:ascii="Times New Roman" w:hAnsi="Times New Roman"/>
          <w:sz w:val="28"/>
          <w:szCs w:val="28"/>
        </w:rPr>
        <w:t>ности</w:t>
      </w:r>
      <w:r w:rsidR="0019540D">
        <w:rPr>
          <w:rFonts w:ascii="Times New Roman" w:hAnsi="Times New Roman"/>
          <w:sz w:val="28"/>
          <w:szCs w:val="28"/>
        </w:rPr>
        <w:t>, является образование и квалификация работников</w:t>
      </w:r>
    </w:p>
    <w:p w14:paraId="7AAACABE" w14:textId="02A9E17E" w:rsidR="0047031D" w:rsidRPr="00A668C9" w:rsidRDefault="00A668C9" w:rsidP="004245C3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668C9">
        <w:rPr>
          <w:rFonts w:ascii="Times New Roman" w:hAnsi="Times New Roman"/>
          <w:b/>
          <w:bCs/>
          <w:sz w:val="28"/>
          <w:szCs w:val="28"/>
        </w:rPr>
        <w:t>Методы и методология</w:t>
      </w:r>
    </w:p>
    <w:p w14:paraId="088F7D78" w14:textId="63032045" w:rsidR="00EB1853" w:rsidRDefault="00DE28A5" w:rsidP="004245C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Методология данного исследования основывается на экономико-статистическом анализе. Для проведения расширенного анализа было использовано множество методов: таблично-графический, метод группировок, индексный метод анализа, анализ рядов динамики, структуры, расчёт обобщающих показателей (абсолютные, относительные и средние величины).</w:t>
      </w:r>
    </w:p>
    <w:p w14:paraId="2ECB3D37" w14:textId="114C07B1" w:rsidR="00305538" w:rsidRPr="00305538" w:rsidRDefault="00305538" w:rsidP="004245C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05538">
        <w:rPr>
          <w:rFonts w:ascii="Times New Roman" w:hAnsi="Times New Roman"/>
          <w:b/>
          <w:bCs/>
          <w:sz w:val="28"/>
          <w:szCs w:val="28"/>
        </w:rPr>
        <w:t xml:space="preserve">3. Результаты </w:t>
      </w:r>
    </w:p>
    <w:p w14:paraId="45F82FE3" w14:textId="551E34B9" w:rsidR="00305538" w:rsidRDefault="001653C4" w:rsidP="0042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B919C3F" wp14:editId="355B80A0">
            <wp:simplePos x="0" y="0"/>
            <wp:positionH relativeFrom="margin">
              <wp:align>center</wp:align>
            </wp:positionH>
            <wp:positionV relativeFrom="paragraph">
              <wp:posOffset>2453640</wp:posOffset>
            </wp:positionV>
            <wp:extent cx="5706110" cy="3945255"/>
            <wp:effectExtent l="0" t="0" r="8890" b="17145"/>
            <wp:wrapSquare wrapText="bothSides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616E32FA-BD30-48F2-88F4-3346418F60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538">
        <w:rPr>
          <w:rFonts w:ascii="Times New Roman" w:hAnsi="Times New Roman"/>
          <w:sz w:val="28"/>
          <w:szCs w:val="28"/>
        </w:rPr>
        <w:t>На основе анализа уровня среднемесячной номинальной начисленной заработной платы по видам экономической деятельности за 2019 г.</w:t>
      </w:r>
      <w:r w:rsidR="0003793A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305538">
        <w:rPr>
          <w:rFonts w:ascii="Times New Roman" w:hAnsi="Times New Roman"/>
          <w:sz w:val="28"/>
          <w:szCs w:val="28"/>
        </w:rPr>
        <w:t xml:space="preserve"> мы выявили </w:t>
      </w:r>
      <w:r w:rsidR="00305538" w:rsidRPr="00BD1F54">
        <w:rPr>
          <w:rFonts w:ascii="Times New Roman" w:hAnsi="Times New Roman"/>
          <w:sz w:val="28"/>
          <w:szCs w:val="28"/>
        </w:rPr>
        <w:t>наиболее высокооплачиваемы</w:t>
      </w:r>
      <w:r w:rsidR="00305538">
        <w:rPr>
          <w:rFonts w:ascii="Times New Roman" w:hAnsi="Times New Roman"/>
          <w:sz w:val="28"/>
          <w:szCs w:val="28"/>
        </w:rPr>
        <w:t>е</w:t>
      </w:r>
      <w:r w:rsidR="00305538" w:rsidRPr="00BD1F54">
        <w:rPr>
          <w:rFonts w:ascii="Times New Roman" w:hAnsi="Times New Roman"/>
          <w:sz w:val="28"/>
          <w:szCs w:val="28"/>
        </w:rPr>
        <w:t xml:space="preserve"> вид</w:t>
      </w:r>
      <w:r w:rsidR="00305538">
        <w:rPr>
          <w:rFonts w:ascii="Times New Roman" w:hAnsi="Times New Roman"/>
          <w:sz w:val="28"/>
          <w:szCs w:val="28"/>
        </w:rPr>
        <w:t>ы</w:t>
      </w:r>
      <w:r w:rsidR="00305538" w:rsidRPr="00BD1F54">
        <w:rPr>
          <w:rFonts w:ascii="Times New Roman" w:hAnsi="Times New Roman"/>
          <w:sz w:val="28"/>
          <w:szCs w:val="28"/>
        </w:rPr>
        <w:t xml:space="preserve"> деятельности</w:t>
      </w:r>
      <w:r w:rsidR="00305538">
        <w:rPr>
          <w:rFonts w:ascii="Times New Roman" w:hAnsi="Times New Roman"/>
          <w:sz w:val="28"/>
          <w:szCs w:val="28"/>
        </w:rPr>
        <w:t xml:space="preserve">: </w:t>
      </w:r>
      <w:r w:rsidR="0016747A">
        <w:rPr>
          <w:rFonts w:ascii="Times New Roman" w:hAnsi="Times New Roman"/>
          <w:sz w:val="28"/>
          <w:szCs w:val="28"/>
        </w:rPr>
        <w:t>«Ф</w:t>
      </w:r>
      <w:r w:rsidR="00305538" w:rsidRPr="00BD1F54">
        <w:rPr>
          <w:rFonts w:ascii="Times New Roman" w:hAnsi="Times New Roman"/>
          <w:sz w:val="28"/>
          <w:szCs w:val="28"/>
        </w:rPr>
        <w:t>инансовая и страховая деятельность</w:t>
      </w:r>
      <w:r w:rsidR="0016747A">
        <w:rPr>
          <w:rFonts w:ascii="Times New Roman" w:hAnsi="Times New Roman"/>
          <w:sz w:val="28"/>
          <w:szCs w:val="28"/>
        </w:rPr>
        <w:t>»</w:t>
      </w:r>
      <w:r w:rsidR="00305538" w:rsidRPr="00BD1F54">
        <w:rPr>
          <w:rFonts w:ascii="Times New Roman" w:hAnsi="Times New Roman"/>
          <w:sz w:val="28"/>
          <w:szCs w:val="28"/>
        </w:rPr>
        <w:t xml:space="preserve">, </w:t>
      </w:r>
      <w:r w:rsidR="0016747A">
        <w:rPr>
          <w:rFonts w:ascii="Times New Roman" w:hAnsi="Times New Roman"/>
          <w:sz w:val="28"/>
          <w:szCs w:val="28"/>
        </w:rPr>
        <w:t>«Д</w:t>
      </w:r>
      <w:r w:rsidR="00305538" w:rsidRPr="00BD1F54">
        <w:rPr>
          <w:rFonts w:ascii="Times New Roman" w:hAnsi="Times New Roman"/>
          <w:sz w:val="28"/>
          <w:szCs w:val="28"/>
        </w:rPr>
        <w:t>обыча полезных ископаемых</w:t>
      </w:r>
      <w:r w:rsidR="0016747A">
        <w:rPr>
          <w:rFonts w:ascii="Times New Roman" w:hAnsi="Times New Roman"/>
          <w:sz w:val="28"/>
          <w:szCs w:val="28"/>
        </w:rPr>
        <w:t>»</w:t>
      </w:r>
      <w:r w:rsidR="00305538" w:rsidRPr="00BD1F54">
        <w:rPr>
          <w:rFonts w:ascii="Times New Roman" w:hAnsi="Times New Roman"/>
          <w:sz w:val="28"/>
          <w:szCs w:val="28"/>
        </w:rPr>
        <w:t xml:space="preserve">, </w:t>
      </w:r>
      <w:r w:rsidR="0016747A">
        <w:rPr>
          <w:rFonts w:ascii="Times New Roman" w:hAnsi="Times New Roman"/>
          <w:sz w:val="28"/>
          <w:szCs w:val="28"/>
        </w:rPr>
        <w:t>«Д</w:t>
      </w:r>
      <w:r w:rsidR="00305538" w:rsidRPr="00BD1F54">
        <w:rPr>
          <w:rFonts w:ascii="Times New Roman" w:hAnsi="Times New Roman"/>
          <w:sz w:val="28"/>
          <w:szCs w:val="28"/>
        </w:rPr>
        <w:t>еятельность в области информации и связи</w:t>
      </w:r>
      <w:r w:rsidR="0016747A">
        <w:rPr>
          <w:rFonts w:ascii="Times New Roman" w:hAnsi="Times New Roman"/>
          <w:sz w:val="28"/>
          <w:szCs w:val="28"/>
        </w:rPr>
        <w:t>»</w:t>
      </w:r>
      <w:r w:rsidR="00305538">
        <w:rPr>
          <w:rFonts w:ascii="Times New Roman" w:hAnsi="Times New Roman"/>
          <w:sz w:val="28"/>
          <w:szCs w:val="28"/>
        </w:rPr>
        <w:t xml:space="preserve"> и наиболее низкооплачиваемые: «Д</w:t>
      </w:r>
      <w:r w:rsidR="00305538" w:rsidRPr="00BD1F54">
        <w:rPr>
          <w:rFonts w:ascii="Times New Roman" w:hAnsi="Times New Roman"/>
          <w:sz w:val="28"/>
          <w:szCs w:val="28"/>
        </w:rPr>
        <w:t>еятельност</w:t>
      </w:r>
      <w:r w:rsidR="00305538">
        <w:rPr>
          <w:rFonts w:ascii="Times New Roman" w:hAnsi="Times New Roman"/>
          <w:sz w:val="28"/>
          <w:szCs w:val="28"/>
        </w:rPr>
        <w:t>ь</w:t>
      </w:r>
      <w:r w:rsidR="00305538" w:rsidRPr="00BD1F54">
        <w:rPr>
          <w:rFonts w:ascii="Times New Roman" w:hAnsi="Times New Roman"/>
          <w:sz w:val="28"/>
          <w:szCs w:val="28"/>
        </w:rPr>
        <w:t xml:space="preserve"> гостиниц и предприятий общественного питания</w:t>
      </w:r>
      <w:r w:rsidR="00305538">
        <w:rPr>
          <w:rFonts w:ascii="Times New Roman" w:hAnsi="Times New Roman"/>
          <w:sz w:val="28"/>
          <w:szCs w:val="28"/>
        </w:rPr>
        <w:t>»</w:t>
      </w:r>
      <w:r w:rsidR="00305538" w:rsidRPr="00BD1F54">
        <w:rPr>
          <w:rFonts w:ascii="Times New Roman" w:hAnsi="Times New Roman"/>
          <w:sz w:val="28"/>
          <w:szCs w:val="28"/>
        </w:rPr>
        <w:t xml:space="preserve">, </w:t>
      </w:r>
      <w:r w:rsidR="00305538">
        <w:rPr>
          <w:rFonts w:ascii="Times New Roman" w:hAnsi="Times New Roman"/>
          <w:sz w:val="28"/>
          <w:szCs w:val="28"/>
        </w:rPr>
        <w:t>«С</w:t>
      </w:r>
      <w:r w:rsidR="00305538" w:rsidRPr="00BD1F54">
        <w:rPr>
          <w:rFonts w:ascii="Times New Roman" w:hAnsi="Times New Roman"/>
          <w:sz w:val="28"/>
          <w:szCs w:val="28"/>
        </w:rPr>
        <w:t>ельско</w:t>
      </w:r>
      <w:r w:rsidR="00305538">
        <w:rPr>
          <w:rFonts w:ascii="Times New Roman" w:hAnsi="Times New Roman"/>
          <w:sz w:val="28"/>
          <w:szCs w:val="28"/>
        </w:rPr>
        <w:t>е</w:t>
      </w:r>
      <w:r w:rsidR="00305538" w:rsidRPr="00BD1F54">
        <w:rPr>
          <w:rFonts w:ascii="Times New Roman" w:hAnsi="Times New Roman"/>
          <w:sz w:val="28"/>
          <w:szCs w:val="28"/>
        </w:rPr>
        <w:t xml:space="preserve"> хозяйств</w:t>
      </w:r>
      <w:r w:rsidR="00305538">
        <w:rPr>
          <w:rFonts w:ascii="Times New Roman" w:hAnsi="Times New Roman"/>
          <w:sz w:val="28"/>
          <w:szCs w:val="28"/>
        </w:rPr>
        <w:t>о»</w:t>
      </w:r>
      <w:r w:rsidR="00305538" w:rsidRPr="00BD1F54">
        <w:rPr>
          <w:rFonts w:ascii="Times New Roman" w:hAnsi="Times New Roman"/>
          <w:sz w:val="28"/>
          <w:szCs w:val="28"/>
        </w:rPr>
        <w:t xml:space="preserve">, </w:t>
      </w:r>
      <w:r w:rsidR="00305538">
        <w:rPr>
          <w:rFonts w:ascii="Times New Roman" w:hAnsi="Times New Roman"/>
          <w:sz w:val="28"/>
          <w:szCs w:val="28"/>
        </w:rPr>
        <w:t>«В</w:t>
      </w:r>
      <w:r w:rsidR="00305538" w:rsidRPr="00BD1F54">
        <w:rPr>
          <w:rFonts w:ascii="Times New Roman" w:hAnsi="Times New Roman"/>
          <w:sz w:val="28"/>
          <w:szCs w:val="28"/>
        </w:rPr>
        <w:t>одоснабжени</w:t>
      </w:r>
      <w:r w:rsidR="00305538">
        <w:rPr>
          <w:rFonts w:ascii="Times New Roman" w:hAnsi="Times New Roman"/>
          <w:sz w:val="28"/>
          <w:szCs w:val="28"/>
        </w:rPr>
        <w:t>е»</w:t>
      </w:r>
      <w:r w:rsidR="00305538" w:rsidRPr="00BD1F54">
        <w:rPr>
          <w:rFonts w:ascii="Times New Roman" w:hAnsi="Times New Roman"/>
          <w:sz w:val="28"/>
          <w:szCs w:val="28"/>
        </w:rPr>
        <w:t>.</w:t>
      </w:r>
      <w:r w:rsidR="000524BF">
        <w:rPr>
          <w:rFonts w:ascii="Times New Roman" w:hAnsi="Times New Roman"/>
          <w:sz w:val="28"/>
          <w:szCs w:val="28"/>
        </w:rPr>
        <w:t xml:space="preserve"> Для визуализации данных представим их на рис</w:t>
      </w:r>
      <w:r w:rsidR="00E65F49">
        <w:rPr>
          <w:rFonts w:ascii="Times New Roman" w:hAnsi="Times New Roman"/>
          <w:sz w:val="28"/>
          <w:szCs w:val="28"/>
        </w:rPr>
        <w:t>.</w:t>
      </w:r>
      <w:r w:rsidR="000524BF">
        <w:rPr>
          <w:rFonts w:ascii="Times New Roman" w:hAnsi="Times New Roman"/>
          <w:sz w:val="28"/>
          <w:szCs w:val="28"/>
        </w:rPr>
        <w:t xml:space="preserve"> 1.</w:t>
      </w:r>
    </w:p>
    <w:p w14:paraId="2A1F0078" w14:textId="77777777" w:rsidR="000524BF" w:rsidRDefault="000524BF" w:rsidP="000524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E65F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 – Среднемесячная номинальная заработная плата по видам экономической деятельности за 2019г. в рублях</w:t>
      </w:r>
    </w:p>
    <w:p w14:paraId="0261C1E1" w14:textId="77777777" w:rsidR="00A00DAE" w:rsidRDefault="00DC442A" w:rsidP="000524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42A">
        <w:rPr>
          <w:rFonts w:ascii="Times New Roman" w:hAnsi="Times New Roman"/>
          <w:sz w:val="28"/>
          <w:szCs w:val="28"/>
        </w:rPr>
        <w:t xml:space="preserve">На основании данных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DC442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лен</w:t>
      </w:r>
      <w:r w:rsidRPr="00DC442A">
        <w:rPr>
          <w:rFonts w:ascii="Times New Roman" w:hAnsi="Times New Roman"/>
          <w:sz w:val="28"/>
          <w:szCs w:val="28"/>
        </w:rPr>
        <w:t xml:space="preserve"> рейтинг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DC442A">
        <w:rPr>
          <w:rFonts w:ascii="Times New Roman" w:hAnsi="Times New Roman"/>
          <w:sz w:val="28"/>
          <w:szCs w:val="28"/>
        </w:rPr>
        <w:t>самых высокооплачиваемых и низкооплачиваемых видов экономической деятельности за 2019 г.</w:t>
      </w:r>
      <w:r>
        <w:rPr>
          <w:rFonts w:ascii="Times New Roman" w:hAnsi="Times New Roman"/>
          <w:sz w:val="28"/>
          <w:szCs w:val="28"/>
        </w:rPr>
        <w:t xml:space="preserve"> (табл. 1).</w:t>
      </w:r>
    </w:p>
    <w:p w14:paraId="662ABE31" w14:textId="77777777" w:rsidR="001C23DA" w:rsidRDefault="001C23DA" w:rsidP="000524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4AF592" w14:textId="77777777" w:rsidR="001C23DA" w:rsidRDefault="001C23DA" w:rsidP="000524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3CD4CA" w14:textId="77777777" w:rsidR="001C23DA" w:rsidRDefault="001C23DA" w:rsidP="000524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5796BF" w14:textId="62BBD08E" w:rsidR="00DC442A" w:rsidRDefault="00204B6C" w:rsidP="000524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Таблица 1 – Рейтинг 5 самых высокооплачиваемых и низкооплачиваемых видов деятельности за 2019 г. 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235"/>
        <w:gridCol w:w="1831"/>
        <w:gridCol w:w="2963"/>
      </w:tblGrid>
      <w:tr w:rsidR="001653C4" w:rsidRPr="00FD11C8" w14:paraId="07934083" w14:textId="028177C9" w:rsidTr="001653C4">
        <w:trPr>
          <w:trHeight w:val="295"/>
        </w:trPr>
        <w:tc>
          <w:tcPr>
            <w:tcW w:w="1133" w:type="dxa"/>
            <w:shd w:val="clear" w:color="auto" w:fill="auto"/>
            <w:vAlign w:val="center"/>
            <w:hideMark/>
          </w:tcPr>
          <w:p w14:paraId="6A3F1E90" w14:textId="7AF8FAB8" w:rsidR="001653C4" w:rsidRPr="00FD11C8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14:paraId="128470ED" w14:textId="4DBD77FA" w:rsidR="001653C4" w:rsidRPr="00FD11C8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Самые высокооплачиваемые ВЭД</w:t>
            </w:r>
          </w:p>
        </w:tc>
        <w:tc>
          <w:tcPr>
            <w:tcW w:w="1833" w:type="dxa"/>
            <w:vAlign w:val="center"/>
          </w:tcPr>
          <w:p w14:paraId="2EC59873" w14:textId="73C281A2" w:rsidR="001653C4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  <w:tc>
          <w:tcPr>
            <w:tcW w:w="2965" w:type="dxa"/>
            <w:vAlign w:val="center"/>
          </w:tcPr>
          <w:p w14:paraId="2A7ED045" w14:textId="1FE0E292" w:rsidR="001653C4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Самые низкооплачиваемые ВЭД</w:t>
            </w:r>
          </w:p>
        </w:tc>
      </w:tr>
      <w:tr w:rsidR="001653C4" w:rsidRPr="00FD11C8" w14:paraId="6DCE7B91" w14:textId="339DFEB7" w:rsidTr="001653C4">
        <w:trPr>
          <w:trHeight w:val="408"/>
        </w:trPr>
        <w:tc>
          <w:tcPr>
            <w:tcW w:w="1133" w:type="dxa"/>
            <w:shd w:val="clear" w:color="auto" w:fill="auto"/>
            <w:vAlign w:val="center"/>
            <w:hideMark/>
          </w:tcPr>
          <w:p w14:paraId="371EA64D" w14:textId="77777777" w:rsidR="001653C4" w:rsidRPr="00FD11C8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14:paraId="2DDEA11B" w14:textId="77777777" w:rsidR="001653C4" w:rsidRPr="00FD11C8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D1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еятельность финансовая и страховая</w:t>
            </w:r>
          </w:p>
        </w:tc>
        <w:tc>
          <w:tcPr>
            <w:tcW w:w="1833" w:type="dxa"/>
            <w:vAlign w:val="center"/>
          </w:tcPr>
          <w:p w14:paraId="552E885A" w14:textId="72EEC886" w:rsidR="001653C4" w:rsidRDefault="006A18DA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5" w:type="dxa"/>
            <w:vAlign w:val="center"/>
          </w:tcPr>
          <w:p w14:paraId="483A2FD6" w14:textId="1160C658" w:rsidR="001653C4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92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еятельность гостиниц и предприятий общественного питания</w:t>
            </w:r>
          </w:p>
        </w:tc>
      </w:tr>
      <w:tr w:rsidR="001653C4" w:rsidRPr="00FD11C8" w14:paraId="6F4E6D01" w14:textId="04AC988F" w:rsidTr="001653C4">
        <w:trPr>
          <w:trHeight w:val="369"/>
        </w:trPr>
        <w:tc>
          <w:tcPr>
            <w:tcW w:w="1133" w:type="dxa"/>
            <w:shd w:val="clear" w:color="auto" w:fill="auto"/>
            <w:vAlign w:val="center"/>
            <w:hideMark/>
          </w:tcPr>
          <w:p w14:paraId="25675773" w14:textId="77777777" w:rsidR="001653C4" w:rsidRPr="00FD11C8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14:paraId="08928E4E" w14:textId="77777777" w:rsidR="001653C4" w:rsidRPr="00FD11C8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D1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обыча полезных ископаемых</w:t>
            </w:r>
          </w:p>
        </w:tc>
        <w:tc>
          <w:tcPr>
            <w:tcW w:w="1833" w:type="dxa"/>
            <w:vAlign w:val="center"/>
          </w:tcPr>
          <w:p w14:paraId="5E445334" w14:textId="1BA79A5F" w:rsidR="001653C4" w:rsidRDefault="006A18DA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5" w:type="dxa"/>
            <w:vAlign w:val="center"/>
          </w:tcPr>
          <w:p w14:paraId="2C084408" w14:textId="48A5E680" w:rsidR="001653C4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92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ельское, лесное хозяйство, охота, рыболовство и рыбоводство</w:t>
            </w:r>
          </w:p>
        </w:tc>
      </w:tr>
      <w:tr w:rsidR="001653C4" w:rsidRPr="00FD11C8" w14:paraId="1A2F9B2E" w14:textId="2AC51D63" w:rsidTr="001653C4">
        <w:trPr>
          <w:trHeight w:val="446"/>
        </w:trPr>
        <w:tc>
          <w:tcPr>
            <w:tcW w:w="1133" w:type="dxa"/>
            <w:shd w:val="clear" w:color="auto" w:fill="auto"/>
            <w:vAlign w:val="center"/>
            <w:hideMark/>
          </w:tcPr>
          <w:p w14:paraId="2EB8A1E5" w14:textId="77777777" w:rsidR="001653C4" w:rsidRPr="00FD11C8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14:paraId="7C27A2A2" w14:textId="77777777" w:rsidR="001653C4" w:rsidRPr="00FD11C8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D1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еятельность в области информации и связи</w:t>
            </w:r>
          </w:p>
        </w:tc>
        <w:tc>
          <w:tcPr>
            <w:tcW w:w="1833" w:type="dxa"/>
            <w:vAlign w:val="center"/>
          </w:tcPr>
          <w:p w14:paraId="44CDA328" w14:textId="4FBEF60D" w:rsidR="001653C4" w:rsidRDefault="006A18DA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5" w:type="dxa"/>
            <w:vAlign w:val="center"/>
          </w:tcPr>
          <w:p w14:paraId="7361BDDB" w14:textId="1F888FBF" w:rsidR="001653C4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92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1653C4" w:rsidRPr="00FD11C8" w14:paraId="1FCC94A5" w14:textId="151BEC77" w:rsidTr="001653C4">
        <w:trPr>
          <w:trHeight w:val="524"/>
        </w:trPr>
        <w:tc>
          <w:tcPr>
            <w:tcW w:w="1133" w:type="dxa"/>
            <w:shd w:val="clear" w:color="auto" w:fill="auto"/>
            <w:vAlign w:val="center"/>
            <w:hideMark/>
          </w:tcPr>
          <w:p w14:paraId="2F60F4E6" w14:textId="77777777" w:rsidR="001653C4" w:rsidRPr="00FD11C8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14:paraId="359FF672" w14:textId="77777777" w:rsidR="001653C4" w:rsidRPr="00FD11C8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D1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еятельность профессиональная, научная и техническая</w:t>
            </w:r>
          </w:p>
        </w:tc>
        <w:tc>
          <w:tcPr>
            <w:tcW w:w="1833" w:type="dxa"/>
            <w:vAlign w:val="center"/>
          </w:tcPr>
          <w:p w14:paraId="491472AB" w14:textId="461AF3AE" w:rsidR="001653C4" w:rsidRDefault="006A18DA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5" w:type="dxa"/>
            <w:vAlign w:val="center"/>
          </w:tcPr>
          <w:p w14:paraId="1E8F7CEA" w14:textId="54FF64A8" w:rsidR="001653C4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92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еятельность административная и сопутствующие дополнительные услуги</w:t>
            </w:r>
          </w:p>
        </w:tc>
      </w:tr>
      <w:tr w:rsidR="001653C4" w:rsidRPr="00FD11C8" w14:paraId="146F9146" w14:textId="3E56E8D0" w:rsidTr="001653C4">
        <w:trPr>
          <w:trHeight w:val="485"/>
        </w:trPr>
        <w:tc>
          <w:tcPr>
            <w:tcW w:w="1133" w:type="dxa"/>
            <w:shd w:val="clear" w:color="auto" w:fill="auto"/>
            <w:vAlign w:val="center"/>
            <w:hideMark/>
          </w:tcPr>
          <w:p w14:paraId="066F516A" w14:textId="77777777" w:rsidR="001653C4" w:rsidRPr="00FD11C8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14:paraId="77931051" w14:textId="77777777" w:rsidR="001653C4" w:rsidRPr="00FD11C8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D1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1833" w:type="dxa"/>
            <w:vAlign w:val="center"/>
          </w:tcPr>
          <w:p w14:paraId="4B72D26D" w14:textId="7DA8A01D" w:rsidR="001653C4" w:rsidRDefault="006A18DA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5" w:type="dxa"/>
            <w:vAlign w:val="center"/>
          </w:tcPr>
          <w:p w14:paraId="159DE315" w14:textId="64C56BCD" w:rsidR="001653C4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92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еятельность по операциям с недвижимым имуществом</w:t>
            </w:r>
          </w:p>
        </w:tc>
      </w:tr>
    </w:tbl>
    <w:p w14:paraId="7EE2E21C" w14:textId="77777777" w:rsidR="00305538" w:rsidRDefault="00E1433F" w:rsidP="003055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оценки различий в уровне оплаты труда по разным видам деятельности был проведен анализ межотраслевой дифференциации заработной платы (табл. </w:t>
      </w:r>
      <w:r w:rsidR="009001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14:paraId="61094DA5" w14:textId="77777777" w:rsidR="00E1433F" w:rsidRDefault="00E1433F" w:rsidP="00E143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9001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Значение показателей вариации и дифференциации с</w:t>
      </w:r>
      <w:r w:rsidRPr="003C3B80">
        <w:rPr>
          <w:rFonts w:ascii="Times New Roman" w:hAnsi="Times New Roman"/>
          <w:sz w:val="28"/>
          <w:szCs w:val="28"/>
        </w:rPr>
        <w:t>реднемесячн</w:t>
      </w:r>
      <w:r>
        <w:rPr>
          <w:rFonts w:ascii="Times New Roman" w:hAnsi="Times New Roman"/>
          <w:sz w:val="28"/>
          <w:szCs w:val="28"/>
        </w:rPr>
        <w:t>ой</w:t>
      </w:r>
      <w:r w:rsidRPr="003C3B80">
        <w:rPr>
          <w:rFonts w:ascii="Times New Roman" w:hAnsi="Times New Roman"/>
          <w:sz w:val="28"/>
          <w:szCs w:val="28"/>
        </w:rPr>
        <w:t xml:space="preserve"> номинальн</w:t>
      </w:r>
      <w:r>
        <w:rPr>
          <w:rFonts w:ascii="Times New Roman" w:hAnsi="Times New Roman"/>
          <w:sz w:val="28"/>
          <w:szCs w:val="28"/>
        </w:rPr>
        <w:t>ой</w:t>
      </w:r>
      <w:r w:rsidRPr="003C3B80">
        <w:rPr>
          <w:rFonts w:ascii="Times New Roman" w:hAnsi="Times New Roman"/>
          <w:sz w:val="28"/>
          <w:szCs w:val="28"/>
        </w:rPr>
        <w:t xml:space="preserve"> начисленн</w:t>
      </w:r>
      <w:r>
        <w:rPr>
          <w:rFonts w:ascii="Times New Roman" w:hAnsi="Times New Roman"/>
          <w:sz w:val="28"/>
          <w:szCs w:val="28"/>
        </w:rPr>
        <w:t>ой</w:t>
      </w:r>
      <w:r w:rsidRPr="003C3B80">
        <w:rPr>
          <w:rFonts w:ascii="Times New Roman" w:hAnsi="Times New Roman"/>
          <w:sz w:val="28"/>
          <w:szCs w:val="28"/>
        </w:rPr>
        <w:t xml:space="preserve"> заработн</w:t>
      </w:r>
      <w:r>
        <w:rPr>
          <w:rFonts w:ascii="Times New Roman" w:hAnsi="Times New Roman"/>
          <w:sz w:val="28"/>
          <w:szCs w:val="28"/>
        </w:rPr>
        <w:t>ой</w:t>
      </w:r>
      <w:r w:rsidRPr="003C3B80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ы</w:t>
      </w:r>
      <w:r w:rsidRPr="003C3B80">
        <w:rPr>
          <w:rFonts w:ascii="Times New Roman" w:hAnsi="Times New Roman"/>
          <w:sz w:val="28"/>
          <w:szCs w:val="28"/>
        </w:rPr>
        <w:t xml:space="preserve"> работников по полному кругу организаций по видам экономической деятельности</w:t>
      </w:r>
      <w:r>
        <w:rPr>
          <w:rFonts w:ascii="Times New Roman" w:hAnsi="Times New Roman"/>
          <w:sz w:val="28"/>
          <w:szCs w:val="28"/>
        </w:rPr>
        <w:t xml:space="preserve"> в 2019 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99"/>
        <w:gridCol w:w="3092"/>
      </w:tblGrid>
      <w:tr w:rsidR="00E1433F" w14:paraId="2A380CEC" w14:textId="77777777" w:rsidTr="00D53AD2">
        <w:trPr>
          <w:trHeight w:val="412"/>
        </w:trPr>
        <w:tc>
          <w:tcPr>
            <w:tcW w:w="5899" w:type="dxa"/>
          </w:tcPr>
          <w:p w14:paraId="3CF4AE59" w14:textId="77777777" w:rsidR="00E1433F" w:rsidRPr="00E25280" w:rsidRDefault="00E1433F" w:rsidP="00D53A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28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92" w:type="dxa"/>
          </w:tcPr>
          <w:p w14:paraId="11D16C65" w14:textId="77777777" w:rsidR="00E1433F" w:rsidRPr="00E25280" w:rsidRDefault="00E1433F" w:rsidP="00D53A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28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E1433F" w14:paraId="0E0A4040" w14:textId="77777777" w:rsidTr="00D53AD2">
        <w:trPr>
          <w:trHeight w:val="425"/>
        </w:trPr>
        <w:tc>
          <w:tcPr>
            <w:tcW w:w="5899" w:type="dxa"/>
          </w:tcPr>
          <w:p w14:paraId="43549659" w14:textId="77777777" w:rsidR="00E1433F" w:rsidRPr="00E25280" w:rsidRDefault="00E1433F" w:rsidP="00D53A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280">
              <w:rPr>
                <w:rFonts w:ascii="Times New Roman" w:hAnsi="Times New Roman"/>
                <w:sz w:val="24"/>
                <w:szCs w:val="24"/>
              </w:rPr>
              <w:t>Размах вариации, руб.</w:t>
            </w:r>
          </w:p>
        </w:tc>
        <w:tc>
          <w:tcPr>
            <w:tcW w:w="3092" w:type="dxa"/>
          </w:tcPr>
          <w:p w14:paraId="1F189B4B" w14:textId="77777777" w:rsidR="00E1433F" w:rsidRPr="00E25280" w:rsidRDefault="00E1433F" w:rsidP="00D53A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280">
              <w:rPr>
                <w:rFonts w:ascii="Times New Roman" w:hAnsi="Times New Roman"/>
                <w:sz w:val="24"/>
                <w:szCs w:val="24"/>
              </w:rPr>
              <w:t>75044</w:t>
            </w:r>
          </w:p>
        </w:tc>
      </w:tr>
      <w:tr w:rsidR="00E1433F" w14:paraId="66BA33A1" w14:textId="77777777" w:rsidTr="00D53AD2">
        <w:trPr>
          <w:trHeight w:val="412"/>
        </w:trPr>
        <w:tc>
          <w:tcPr>
            <w:tcW w:w="5899" w:type="dxa"/>
          </w:tcPr>
          <w:p w14:paraId="3A4F8CF9" w14:textId="77777777" w:rsidR="00E1433F" w:rsidRPr="00E25280" w:rsidRDefault="00E1433F" w:rsidP="00D53A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280">
              <w:rPr>
                <w:rFonts w:ascii="Times New Roman" w:hAnsi="Times New Roman"/>
                <w:sz w:val="24"/>
                <w:szCs w:val="24"/>
              </w:rPr>
              <w:t>Среднеквадратическое отклонение, руб.</w:t>
            </w:r>
          </w:p>
        </w:tc>
        <w:tc>
          <w:tcPr>
            <w:tcW w:w="3092" w:type="dxa"/>
          </w:tcPr>
          <w:p w14:paraId="18E00F5D" w14:textId="77777777" w:rsidR="00E1433F" w:rsidRPr="00E25280" w:rsidRDefault="00E1433F" w:rsidP="00D53A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280">
              <w:rPr>
                <w:rFonts w:ascii="Times New Roman" w:hAnsi="Times New Roman"/>
                <w:sz w:val="24"/>
                <w:szCs w:val="24"/>
              </w:rPr>
              <w:t>20474,12</w:t>
            </w:r>
          </w:p>
        </w:tc>
      </w:tr>
      <w:tr w:rsidR="00E1433F" w14:paraId="4347D265" w14:textId="77777777" w:rsidTr="00D53AD2">
        <w:trPr>
          <w:trHeight w:val="425"/>
        </w:trPr>
        <w:tc>
          <w:tcPr>
            <w:tcW w:w="5899" w:type="dxa"/>
          </w:tcPr>
          <w:p w14:paraId="105BA752" w14:textId="77777777" w:rsidR="00E1433F" w:rsidRPr="00E25280" w:rsidRDefault="00E1433F" w:rsidP="00D53A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280">
              <w:rPr>
                <w:rFonts w:ascii="Times New Roman" w:hAnsi="Times New Roman"/>
                <w:sz w:val="24"/>
                <w:szCs w:val="24"/>
              </w:rPr>
              <w:t>Коэффициент вариации, %</w:t>
            </w:r>
          </w:p>
        </w:tc>
        <w:tc>
          <w:tcPr>
            <w:tcW w:w="3092" w:type="dxa"/>
          </w:tcPr>
          <w:p w14:paraId="272EA39F" w14:textId="77777777" w:rsidR="00E1433F" w:rsidRPr="00E25280" w:rsidRDefault="00E1433F" w:rsidP="00D53A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280">
              <w:rPr>
                <w:rFonts w:ascii="Times New Roman" w:hAnsi="Times New Roman"/>
                <w:sz w:val="24"/>
                <w:szCs w:val="24"/>
              </w:rPr>
              <w:t>43,13</w:t>
            </w:r>
          </w:p>
        </w:tc>
      </w:tr>
      <w:tr w:rsidR="00E1433F" w14:paraId="52AAE156" w14:textId="77777777" w:rsidTr="00D53AD2">
        <w:trPr>
          <w:trHeight w:val="76"/>
        </w:trPr>
        <w:tc>
          <w:tcPr>
            <w:tcW w:w="5899" w:type="dxa"/>
          </w:tcPr>
          <w:p w14:paraId="355F390B" w14:textId="77777777" w:rsidR="00E1433F" w:rsidRPr="00E25280" w:rsidRDefault="00E1433F" w:rsidP="00D53A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280">
              <w:rPr>
                <w:rFonts w:ascii="Times New Roman" w:hAnsi="Times New Roman"/>
                <w:sz w:val="24"/>
                <w:szCs w:val="24"/>
              </w:rPr>
              <w:t>Коэффициент фондовой дифференциации</w:t>
            </w:r>
          </w:p>
        </w:tc>
        <w:tc>
          <w:tcPr>
            <w:tcW w:w="3092" w:type="dxa"/>
          </w:tcPr>
          <w:p w14:paraId="211C385C" w14:textId="77777777" w:rsidR="00E1433F" w:rsidRPr="00E25280" w:rsidRDefault="00E1433F" w:rsidP="00D53A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28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</w:tbl>
    <w:p w14:paraId="009377C3" w14:textId="77777777" w:rsidR="00E1433F" w:rsidRDefault="00E1433F" w:rsidP="003055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EFE69B" w14:textId="77777777" w:rsidR="00D16F33" w:rsidRDefault="00E1433F" w:rsidP="001653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Размах вариации, то есть разница между самой высокооплачиваемой деятельностью (финансовой и страховой) и самой низкооплачиваемой (деятельности гостиниц и </w:t>
      </w:r>
      <w:r w:rsidRPr="0022330B">
        <w:rPr>
          <w:rFonts w:ascii="Times New Roman" w:hAnsi="Times New Roman"/>
          <w:sz w:val="28"/>
          <w:szCs w:val="28"/>
        </w:rPr>
        <w:t>предприятий общественного питания</w:t>
      </w:r>
      <w:r>
        <w:rPr>
          <w:rFonts w:ascii="Times New Roman" w:hAnsi="Times New Roman"/>
          <w:sz w:val="28"/>
          <w:szCs w:val="28"/>
        </w:rPr>
        <w:t xml:space="preserve">) </w:t>
      </w:r>
      <w:r w:rsidR="004208C6">
        <w:rPr>
          <w:rFonts w:ascii="Times New Roman" w:hAnsi="Times New Roman"/>
          <w:sz w:val="28"/>
          <w:szCs w:val="28"/>
        </w:rPr>
        <w:t xml:space="preserve">в 2017 г. </w:t>
      </w:r>
      <w:r w:rsidR="004208C6">
        <w:rPr>
          <w:rFonts w:ascii="Times New Roman" w:hAnsi="Times New Roman"/>
          <w:sz w:val="28"/>
          <w:szCs w:val="28"/>
        </w:rPr>
        <w:lastRenderedPageBreak/>
        <w:t xml:space="preserve">составлял 60 934 руб., в 2018 – 64 829 руб., а в 2019 г. </w:t>
      </w:r>
      <w:r>
        <w:rPr>
          <w:rFonts w:ascii="Times New Roman" w:hAnsi="Times New Roman"/>
          <w:sz w:val="28"/>
          <w:szCs w:val="28"/>
        </w:rPr>
        <w:t>75</w:t>
      </w:r>
      <w:r w:rsidR="00D16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044 руб. </w:t>
      </w:r>
      <w:r w:rsidR="00D16F33">
        <w:rPr>
          <w:rFonts w:ascii="Times New Roman" w:hAnsi="Times New Roman"/>
          <w:sz w:val="28"/>
          <w:szCs w:val="28"/>
        </w:rPr>
        <w:t>Заметим тенденцию к росту дифференциации заработной платы, что связано с наиболее стремительным увеличением заработных плат в деятельности финансовой и страховой.</w:t>
      </w:r>
    </w:p>
    <w:p w14:paraId="4EE515C1" w14:textId="77777777" w:rsidR="00E1433F" w:rsidRPr="00D61EB1" w:rsidRDefault="00E1433F" w:rsidP="001653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EB1">
        <w:rPr>
          <w:rFonts w:ascii="Times New Roman" w:hAnsi="Times New Roman"/>
          <w:sz w:val="28"/>
          <w:szCs w:val="28"/>
        </w:rPr>
        <w:t>Среднеквадратическое отклонение показывает, на сколько в среднем отклоняются конкретные значения от среднего значения по совокупности.</w:t>
      </w:r>
    </w:p>
    <w:p w14:paraId="45805B3A" w14:textId="77777777" w:rsidR="00E1433F" w:rsidRPr="00D61EB1" w:rsidRDefault="00E1433F" w:rsidP="001653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EB1">
        <w:rPr>
          <w:rFonts w:ascii="Times New Roman" w:hAnsi="Times New Roman"/>
          <w:sz w:val="28"/>
          <w:szCs w:val="28"/>
        </w:rPr>
        <w:t>Следовательно, можно сделать вывод, что среднемесячная номинальная заработная плата по отдельным видам экономической деятельности отклонялась от среднего значения по экономике России в целом на 20 474,12 руб.</w:t>
      </w:r>
    </w:p>
    <w:p w14:paraId="68389496" w14:textId="77777777" w:rsidR="0023629F" w:rsidRPr="00D61EB1" w:rsidRDefault="0023629F" w:rsidP="001653C4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61EB1">
        <w:rPr>
          <w:rFonts w:ascii="Times New Roman" w:hAnsi="Times New Roman"/>
          <w:iCs/>
          <w:sz w:val="28"/>
          <w:szCs w:val="28"/>
        </w:rPr>
        <w:t>По рассчитанному коэффициенту вариации можно сделать вывод, что различные виды экономической деятельности неоднородны по уровню оплаты труда.</w:t>
      </w:r>
    </w:p>
    <w:p w14:paraId="5DA93A7F" w14:textId="77777777" w:rsidR="000B4425" w:rsidRPr="00C8305E" w:rsidRDefault="000B4425" w:rsidP="001653C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D61EB1">
        <w:rPr>
          <w:rFonts w:ascii="Times New Roman" w:hAnsi="Times New Roman" w:cs="Times New Roman"/>
          <w:iCs/>
          <w:color w:val="auto"/>
          <w:sz w:val="28"/>
          <w:szCs w:val="28"/>
        </w:rPr>
        <w:t>Исходя из коэффициент фондовой дифференциации, доходы работников 10% самых высокооплачиваемых видов деятельности в 3,3 раза превышали доходы 10% работников самых низкооплачиваемых видов деятельности.</w:t>
      </w:r>
    </w:p>
    <w:p w14:paraId="40360B94" w14:textId="77777777" w:rsidR="0023629F" w:rsidRDefault="00A042D2" w:rsidP="001653C4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042D2">
        <w:rPr>
          <w:rFonts w:ascii="Times New Roman" w:hAnsi="Times New Roman"/>
          <w:iCs/>
          <w:sz w:val="28"/>
          <w:szCs w:val="28"/>
        </w:rPr>
        <w:t xml:space="preserve">Чтобы проследить за направлением и размером изменений показателя, </w:t>
      </w:r>
      <w:r>
        <w:rPr>
          <w:rFonts w:ascii="Times New Roman" w:hAnsi="Times New Roman"/>
          <w:iCs/>
          <w:sz w:val="28"/>
          <w:szCs w:val="28"/>
        </w:rPr>
        <w:t xml:space="preserve">был </w:t>
      </w:r>
      <w:r w:rsidRPr="00A042D2">
        <w:rPr>
          <w:rFonts w:ascii="Times New Roman" w:hAnsi="Times New Roman"/>
          <w:iCs/>
          <w:sz w:val="28"/>
          <w:szCs w:val="28"/>
        </w:rPr>
        <w:t>проведё</w:t>
      </w:r>
      <w:r>
        <w:rPr>
          <w:rFonts w:ascii="Times New Roman" w:hAnsi="Times New Roman"/>
          <w:iCs/>
          <w:sz w:val="28"/>
          <w:szCs w:val="28"/>
        </w:rPr>
        <w:t>н</w:t>
      </w:r>
      <w:r w:rsidRPr="00A042D2">
        <w:rPr>
          <w:rFonts w:ascii="Times New Roman" w:hAnsi="Times New Roman"/>
          <w:iCs/>
          <w:sz w:val="28"/>
          <w:szCs w:val="28"/>
        </w:rPr>
        <w:t xml:space="preserve"> анализ динамики среднемесячной номинальной заработной платы по </w:t>
      </w:r>
      <w:r>
        <w:rPr>
          <w:rFonts w:ascii="Times New Roman" w:hAnsi="Times New Roman"/>
          <w:iCs/>
          <w:sz w:val="28"/>
          <w:szCs w:val="28"/>
        </w:rPr>
        <w:t xml:space="preserve">видам экономической деятельности </w:t>
      </w:r>
      <w:r w:rsidRPr="00A042D2">
        <w:rPr>
          <w:rFonts w:ascii="Times New Roman" w:hAnsi="Times New Roman"/>
          <w:iCs/>
          <w:sz w:val="28"/>
          <w:szCs w:val="28"/>
        </w:rPr>
        <w:t>за 201</w:t>
      </w:r>
      <w:r>
        <w:rPr>
          <w:rFonts w:ascii="Times New Roman" w:hAnsi="Times New Roman"/>
          <w:iCs/>
          <w:sz w:val="28"/>
          <w:szCs w:val="28"/>
        </w:rPr>
        <w:t xml:space="preserve">7 </w:t>
      </w:r>
      <w:r w:rsidRPr="00A042D2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042D2">
        <w:rPr>
          <w:rFonts w:ascii="Times New Roman" w:hAnsi="Times New Roman"/>
          <w:iCs/>
          <w:sz w:val="28"/>
          <w:szCs w:val="28"/>
        </w:rPr>
        <w:t>2019 гг.</w:t>
      </w:r>
      <w:r w:rsidR="00BF28C2">
        <w:rPr>
          <w:rFonts w:ascii="Times New Roman" w:hAnsi="Times New Roman"/>
          <w:iCs/>
          <w:sz w:val="28"/>
          <w:szCs w:val="28"/>
        </w:rPr>
        <w:t xml:space="preserve"> (табл. 3).</w:t>
      </w:r>
    </w:p>
    <w:p w14:paraId="746706C0" w14:textId="77777777" w:rsidR="00F17EF2" w:rsidRDefault="00F17EF2" w:rsidP="00F17E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BF28C2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Динамика среднемесячной номинальной и реальной заработной платы по видам экономической деятельности за 2017 – 2019 гг.</w:t>
      </w:r>
    </w:p>
    <w:tbl>
      <w:tblPr>
        <w:tblW w:w="8698" w:type="dxa"/>
        <w:tblLook w:val="04A0" w:firstRow="1" w:lastRow="0" w:firstColumn="1" w:lastColumn="0" w:noHBand="0" w:noVBand="1"/>
      </w:tblPr>
      <w:tblGrid>
        <w:gridCol w:w="5391"/>
        <w:gridCol w:w="1739"/>
        <w:gridCol w:w="1568"/>
      </w:tblGrid>
      <w:tr w:rsidR="00BF28C2" w:rsidRPr="00F34ACD" w14:paraId="55B31508" w14:textId="77777777" w:rsidTr="00893739">
        <w:trPr>
          <w:trHeight w:val="54"/>
        </w:trPr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F9B9" w14:textId="77777777" w:rsidR="00BF28C2" w:rsidRPr="00FD59C9" w:rsidRDefault="00BF28C2" w:rsidP="00D53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экономической деятельности/показатель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FF5B" w14:textId="77777777" w:rsidR="00BF28C2" w:rsidRPr="00FD59C9" w:rsidRDefault="00BF28C2" w:rsidP="00D53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Номинальная заработная плата</w:t>
            </w:r>
          </w:p>
        </w:tc>
      </w:tr>
      <w:tr w:rsidR="00BF28C2" w:rsidRPr="00F34ACD" w14:paraId="680CE6F7" w14:textId="77777777" w:rsidTr="00BF28C2">
        <w:trPr>
          <w:trHeight w:val="51"/>
        </w:trPr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BEFA" w14:textId="77777777" w:rsidR="00BF28C2" w:rsidRPr="00FD59C9" w:rsidRDefault="00BF28C2" w:rsidP="00D53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6C51" w14:textId="77777777" w:rsidR="00BF28C2" w:rsidRPr="00FD59C9" w:rsidRDefault="00BF28C2" w:rsidP="00D53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∆, руб.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1DB1" w14:textId="77777777" w:rsidR="00BF28C2" w:rsidRPr="00FD59C9" w:rsidRDefault="00BF28C2" w:rsidP="00D53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Тприр</w:t>
            </w:r>
            <w:proofErr w:type="spellEnd"/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%</w:t>
            </w:r>
          </w:p>
        </w:tc>
      </w:tr>
      <w:tr w:rsidR="00BF28C2" w:rsidRPr="00F34ACD" w14:paraId="1AF3BB64" w14:textId="77777777" w:rsidTr="00BF28C2">
        <w:trPr>
          <w:trHeight w:val="34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7F80" w14:textId="77777777" w:rsidR="00BF28C2" w:rsidRPr="00FD59C9" w:rsidRDefault="00BF28C2" w:rsidP="00D53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2F50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D36C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</w:tr>
      <w:tr w:rsidR="00BF28C2" w:rsidRPr="00F34ACD" w14:paraId="70765C55" w14:textId="77777777" w:rsidTr="00BF28C2">
        <w:trPr>
          <w:trHeight w:val="77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A733" w14:textId="77777777" w:rsidR="00BF28C2" w:rsidRPr="00FD59C9" w:rsidRDefault="00BF28C2" w:rsidP="00D53AD2">
            <w:pPr>
              <w:spacing w:after="0" w:line="240" w:lineRule="auto"/>
              <w:ind w:hanging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сельское, лесное хозяйство, охота, рыболовство и рыбоводство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0806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5910,30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A660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23,02</w:t>
            </w:r>
          </w:p>
        </w:tc>
      </w:tr>
      <w:tr w:rsidR="00BF28C2" w:rsidRPr="00F34ACD" w14:paraId="64A8D795" w14:textId="77777777" w:rsidTr="00BF28C2">
        <w:trPr>
          <w:trHeight w:val="48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1035" w14:textId="77777777" w:rsidR="00BF28C2" w:rsidRPr="00FD59C9" w:rsidRDefault="00BF28C2" w:rsidP="00D53AD2">
            <w:pPr>
              <w:spacing w:after="0" w:line="240" w:lineRule="auto"/>
              <w:ind w:left="-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добыча полезных ископаемых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8751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14435,60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DB89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19,38</w:t>
            </w:r>
          </w:p>
        </w:tc>
      </w:tr>
      <w:tr w:rsidR="00BF28C2" w:rsidRPr="00F34ACD" w14:paraId="22B684D1" w14:textId="77777777" w:rsidTr="00BF28C2">
        <w:trPr>
          <w:trHeight w:val="49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4D8A" w14:textId="77777777" w:rsidR="00BF28C2" w:rsidRPr="00FD59C9" w:rsidRDefault="00BF28C2" w:rsidP="00D53AD2">
            <w:pPr>
              <w:spacing w:after="0" w:line="240" w:lineRule="auto"/>
              <w:ind w:left="-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обрабатывающие производства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7BE0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5257,60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2AED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13,66</w:t>
            </w:r>
          </w:p>
        </w:tc>
      </w:tr>
      <w:tr w:rsidR="00BF28C2" w:rsidRPr="00F34ACD" w14:paraId="0855E636" w14:textId="77777777" w:rsidTr="00BF28C2">
        <w:trPr>
          <w:trHeight w:val="114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FAAD" w14:textId="77777777" w:rsidR="00BF28C2" w:rsidRPr="00FD59C9" w:rsidRDefault="00BF28C2" w:rsidP="00D53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93E3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5393,90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71E4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12,09</w:t>
            </w:r>
          </w:p>
        </w:tc>
      </w:tr>
      <w:tr w:rsidR="00BF28C2" w:rsidRPr="00F34ACD" w14:paraId="1E2C964A" w14:textId="77777777" w:rsidTr="00BF28C2">
        <w:trPr>
          <w:trHeight w:val="147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69CD" w14:textId="77777777" w:rsidR="00BF28C2" w:rsidRPr="00FD59C9" w:rsidRDefault="00BF28C2" w:rsidP="00D53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C28E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4904,60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656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16,86</w:t>
            </w:r>
          </w:p>
        </w:tc>
      </w:tr>
      <w:tr w:rsidR="00BF28C2" w:rsidRPr="00F34ACD" w14:paraId="720E863A" w14:textId="77777777" w:rsidTr="00BF28C2">
        <w:trPr>
          <w:trHeight w:val="34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4E94" w14:textId="77777777" w:rsidR="00BF28C2" w:rsidRPr="00FD59C9" w:rsidRDefault="00BF28C2" w:rsidP="00D53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585D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8200,30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9E09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24,35</w:t>
            </w:r>
          </w:p>
        </w:tc>
      </w:tr>
      <w:tr w:rsidR="00BF28C2" w:rsidRPr="00F34ACD" w14:paraId="4FE7EA7C" w14:textId="77777777" w:rsidTr="00BF28C2">
        <w:trPr>
          <w:trHeight w:val="108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44E6" w14:textId="77777777" w:rsidR="00BF28C2" w:rsidRPr="00FD59C9" w:rsidRDefault="00BF28C2" w:rsidP="00D53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FFB2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7364,40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4F32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BF28C2" w:rsidRPr="00F34ACD" w14:paraId="7525935E" w14:textId="77777777" w:rsidTr="00BF28C2">
        <w:trPr>
          <w:trHeight w:val="45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6F2A" w14:textId="77777777" w:rsidR="00BF28C2" w:rsidRPr="00FD59C9" w:rsidRDefault="00BF28C2" w:rsidP="00D53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691D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6845,80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429F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15,57</w:t>
            </w:r>
          </w:p>
        </w:tc>
      </w:tr>
      <w:tr w:rsidR="00BF28C2" w:rsidRPr="00F34ACD" w14:paraId="1D1DF3CC" w14:textId="77777777" w:rsidTr="00BF28C2">
        <w:trPr>
          <w:trHeight w:val="83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7389" w14:textId="77777777" w:rsidR="00BF28C2" w:rsidRPr="00FD59C9" w:rsidRDefault="00BF28C2" w:rsidP="00D53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284F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3976,70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3ADC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16,59</w:t>
            </w:r>
          </w:p>
        </w:tc>
      </w:tr>
      <w:tr w:rsidR="00BF28C2" w:rsidRPr="00F34ACD" w14:paraId="1BFF0F11" w14:textId="77777777" w:rsidTr="00BF28C2">
        <w:trPr>
          <w:trHeight w:val="69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A5EA" w14:textId="77777777" w:rsidR="00BF28C2" w:rsidRPr="00FD59C9" w:rsidRDefault="00BF28C2" w:rsidP="00D53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BC74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15559,80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7BB1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26,46</w:t>
            </w:r>
          </w:p>
        </w:tc>
      </w:tr>
      <w:tr w:rsidR="00BF28C2" w:rsidRPr="00F34ACD" w14:paraId="6A864FB8" w14:textId="77777777" w:rsidTr="00BF28C2">
        <w:trPr>
          <w:trHeight w:val="69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C9E2" w14:textId="77777777" w:rsidR="00BF28C2" w:rsidRPr="00FD59C9" w:rsidRDefault="00BF28C2" w:rsidP="00D53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9A40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18087,60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571A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21,30</w:t>
            </w:r>
          </w:p>
        </w:tc>
      </w:tr>
      <w:tr w:rsidR="00BF28C2" w:rsidRPr="00F34ACD" w14:paraId="4560C444" w14:textId="77777777" w:rsidTr="00BF28C2">
        <w:trPr>
          <w:trHeight w:val="94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266D" w14:textId="77777777" w:rsidR="00BF28C2" w:rsidRPr="00FD59C9" w:rsidRDefault="00BF28C2" w:rsidP="00D53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029C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6231,20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DA6F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</w:tr>
      <w:tr w:rsidR="00BF28C2" w:rsidRPr="00F34ACD" w14:paraId="17ED92D8" w14:textId="77777777" w:rsidTr="00BF28C2">
        <w:trPr>
          <w:trHeight w:val="82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4CC8" w14:textId="77777777" w:rsidR="00BF28C2" w:rsidRPr="00FD59C9" w:rsidRDefault="00BF28C2" w:rsidP="00D53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539A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15760,70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E3D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27,56</w:t>
            </w:r>
          </w:p>
        </w:tc>
      </w:tr>
      <w:tr w:rsidR="00BF28C2" w:rsidRPr="00F34ACD" w14:paraId="58728B32" w14:textId="77777777" w:rsidTr="00BF28C2">
        <w:trPr>
          <w:trHeight w:val="81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234A" w14:textId="77777777" w:rsidR="00BF28C2" w:rsidRPr="00FD59C9" w:rsidRDefault="00BF28C2" w:rsidP="00D53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97E9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6858,70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B12B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24,83</w:t>
            </w:r>
          </w:p>
        </w:tc>
      </w:tr>
      <w:tr w:rsidR="00BF28C2" w:rsidRPr="00F34ACD" w14:paraId="35C558B9" w14:textId="77777777" w:rsidTr="00BF28C2">
        <w:trPr>
          <w:trHeight w:val="114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EF6E" w14:textId="77777777" w:rsidR="00BF28C2" w:rsidRPr="00FD59C9" w:rsidRDefault="00BF28C2" w:rsidP="00D53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28E0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7488,30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F205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17,21</w:t>
            </w:r>
          </w:p>
        </w:tc>
      </w:tr>
      <w:tr w:rsidR="00BF28C2" w:rsidRPr="00F34ACD" w14:paraId="19A37D90" w14:textId="77777777" w:rsidTr="00BF28C2">
        <w:trPr>
          <w:trHeight w:val="34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7FCE" w14:textId="77777777" w:rsidR="00BF28C2" w:rsidRPr="00FD59C9" w:rsidRDefault="00BF28C2" w:rsidP="00D53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FBE6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6765,70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55FC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22,36</w:t>
            </w:r>
          </w:p>
        </w:tc>
      </w:tr>
      <w:tr w:rsidR="00BF28C2" w:rsidRPr="00F34ACD" w14:paraId="539F1176" w14:textId="77777777" w:rsidTr="00BF28C2">
        <w:trPr>
          <w:trHeight w:val="76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CF10" w14:textId="77777777" w:rsidR="00BF28C2" w:rsidRPr="00FD59C9" w:rsidRDefault="00BF28C2" w:rsidP="00D53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52CF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11128,60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994E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</w:tr>
      <w:tr w:rsidR="00BF28C2" w:rsidRPr="00F34ACD" w14:paraId="61EDE8E8" w14:textId="77777777" w:rsidTr="00BF28C2">
        <w:trPr>
          <w:trHeight w:val="97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CAB0" w14:textId="77777777" w:rsidR="00BF28C2" w:rsidRPr="00FD59C9" w:rsidRDefault="00BF28C2" w:rsidP="00D53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8E37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9073,60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AA60" w14:textId="77777777" w:rsidR="00BF28C2" w:rsidRPr="00FD59C9" w:rsidRDefault="00BF28C2" w:rsidP="00D53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23,75</w:t>
            </w:r>
          </w:p>
        </w:tc>
      </w:tr>
    </w:tbl>
    <w:p w14:paraId="323D4760" w14:textId="77777777" w:rsidR="00764484" w:rsidRDefault="00764484" w:rsidP="0076448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Анализ динамики показал, что абсолютно по всем видам деятельности имелась тенденция к росту среднемесячной номинальной</w:t>
      </w:r>
      <w:r w:rsidR="00FF1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заработной платы. По восемнадцати видам экономической деятельности отмечался прирост от 12,09% до 34,80%. Максимальная тенденция роста среднемесячной заработной платы за последние три года наблюдалась в деятельности в области здравоохранения и социальных услуг. Здесь наблюдался рост номинального показателя на 34,80% или на 11 129 руб. Вероятно, это обусловлено тяжестью и ответственностью профессии. Наименьший рост среднемесячной заработной платы наблюдался по области «О</w:t>
      </w:r>
      <w:r w:rsidRPr="00201AE0">
        <w:rPr>
          <w:rFonts w:ascii="Times New Roman" w:hAnsi="Times New Roman" w:cs="Times New Roman"/>
          <w:color w:val="auto"/>
          <w:sz w:val="28"/>
          <w:szCs w:val="28"/>
        </w:rPr>
        <w:t>беспечение электрической энергией, газом и паром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». Здесь наблюдался рост номинального показателя на 12,09% или на 5 394 руб. </w:t>
      </w:r>
    </w:p>
    <w:p w14:paraId="73E80251" w14:textId="77777777" w:rsidR="00BF28C2" w:rsidRDefault="00014405" w:rsidP="00DC44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у</w:t>
      </w:r>
      <w:r w:rsidRPr="00974C13">
        <w:rPr>
          <w:rFonts w:ascii="Times New Roman" w:hAnsi="Times New Roman"/>
          <w:sz w:val="28"/>
          <w:szCs w:val="28"/>
        </w:rPr>
        <w:t>величение номинальной заработной платы не означает увеличение благосостояния работников,</w:t>
      </w:r>
      <w:r>
        <w:rPr>
          <w:rFonts w:ascii="Times New Roman" w:hAnsi="Times New Roman"/>
          <w:sz w:val="28"/>
          <w:szCs w:val="28"/>
        </w:rPr>
        <w:t xml:space="preserve"> поэтому необходимо произвести оценку покупательной способности полученных средств. </w:t>
      </w:r>
    </w:p>
    <w:p w14:paraId="26ADD277" w14:textId="77777777" w:rsidR="00E65F49" w:rsidRDefault="00881E04" w:rsidP="00D23714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данным Росстата индекс потребительских цен в декабре 2019 г. по сравнению с декабрём 2018 г. составил 103,04%</w:t>
      </w:r>
      <w:r w:rsidR="00D2371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65F49">
        <w:rPr>
          <w:rFonts w:ascii="Times New Roman" w:hAnsi="Times New Roman" w:cs="Times New Roman"/>
          <w:color w:val="auto"/>
          <w:sz w:val="28"/>
          <w:szCs w:val="28"/>
        </w:rPr>
        <w:t xml:space="preserve">На рис. 2 представлен темп </w:t>
      </w:r>
      <w:r w:rsidR="00E65F49">
        <w:rPr>
          <w:rFonts w:ascii="Times New Roman" w:hAnsi="Times New Roman"/>
          <w:sz w:val="28"/>
          <w:szCs w:val="28"/>
        </w:rPr>
        <w:t xml:space="preserve">прироста номинальной и реальной заработной платы по всей экономике России в целом за 2019 гг. </w:t>
      </w:r>
    </w:p>
    <w:p w14:paraId="62208B51" w14:textId="77777777" w:rsidR="00881E04" w:rsidRDefault="00A158DB" w:rsidP="00975A25">
      <w:pPr>
        <w:spacing w:line="36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1FA465" wp14:editId="39760409">
            <wp:extent cx="4885267" cy="1930400"/>
            <wp:effectExtent l="0" t="0" r="10795" b="1270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892B4C4-6D4C-4D31-90E9-8265B95EDC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8D7D77" w14:textId="77777777" w:rsidR="003D64FF" w:rsidRDefault="003D64FF" w:rsidP="004245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E65F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 – Темп прироста </w:t>
      </w:r>
      <w:r w:rsidR="00E65F49">
        <w:rPr>
          <w:rFonts w:ascii="Times New Roman" w:hAnsi="Times New Roman"/>
          <w:sz w:val="28"/>
          <w:szCs w:val="28"/>
        </w:rPr>
        <w:t>номинальной и реальной заработной платы по всей экономике России в целом за 2017 – 2019 гг.</w:t>
      </w:r>
    </w:p>
    <w:p w14:paraId="70130C4E" w14:textId="09F9E5BD" w:rsidR="00D23714" w:rsidRDefault="001D0FF5" w:rsidP="00975A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показал</w:t>
      </w:r>
      <w:r w:rsidR="00CD45E6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темп прироста реальной заработной платы превышает темп прироста номинальной, что говорит об улучшении уровня жизни населения. </w:t>
      </w:r>
    </w:p>
    <w:p w14:paraId="25CBF084" w14:textId="2D43ECAE" w:rsidR="005F2F9A" w:rsidRDefault="00FF1854" w:rsidP="00975A25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ходе исследования был проведён индексный анализ изменения среднемесячной номинальной заработной платы</w:t>
      </w:r>
      <w:r w:rsidRPr="00374A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за 2018 - 2019 гг. по всей экономике России в целом, в том числе за счёт изменения среднемесячной заработной платы по различным видам экономической деятельности и за счёт изменения распределения численности занятых по видам экономической деятельности</w:t>
      </w:r>
      <w:r w:rsidR="005F2F9A">
        <w:rPr>
          <w:rFonts w:ascii="Times New Roman" w:hAnsi="Times New Roman" w:cs="Times New Roman"/>
          <w:color w:val="auto"/>
          <w:sz w:val="28"/>
          <w:szCs w:val="28"/>
        </w:rPr>
        <w:t xml:space="preserve"> (табл. </w:t>
      </w:r>
      <w:r w:rsidR="00CD45E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F2F9A">
        <w:rPr>
          <w:rFonts w:ascii="Times New Roman" w:hAnsi="Times New Roman" w:cs="Times New Roman"/>
          <w:color w:val="auto"/>
          <w:sz w:val="28"/>
          <w:szCs w:val="28"/>
        </w:rPr>
        <w:t xml:space="preserve">). Интерес данного анализа </w:t>
      </w:r>
      <w:r w:rsidR="00CD45E6">
        <w:rPr>
          <w:rFonts w:ascii="Times New Roman" w:hAnsi="Times New Roman" w:cs="Times New Roman"/>
          <w:color w:val="auto"/>
          <w:sz w:val="28"/>
          <w:szCs w:val="28"/>
        </w:rPr>
        <w:t xml:space="preserve">состоит </w:t>
      </w:r>
      <w:r w:rsidR="005F2F9A">
        <w:rPr>
          <w:rFonts w:ascii="Times New Roman" w:hAnsi="Times New Roman" w:cs="Times New Roman"/>
          <w:color w:val="auto"/>
          <w:sz w:val="28"/>
          <w:szCs w:val="28"/>
        </w:rPr>
        <w:t xml:space="preserve">в том, что </w:t>
      </w:r>
      <w:r w:rsidR="005F2F9A">
        <w:rPr>
          <w:rFonts w:ascii="Times New Roman" w:hAnsi="Times New Roman"/>
          <w:sz w:val="28"/>
          <w:szCs w:val="28"/>
        </w:rPr>
        <w:t xml:space="preserve">он позволяет провести сравнение несоизмеримых элементов одного явления. </w:t>
      </w:r>
    </w:p>
    <w:p w14:paraId="1BD6CC40" w14:textId="292BD396" w:rsidR="00FF1854" w:rsidRPr="00E23625" w:rsidRDefault="00FF1854" w:rsidP="00975A2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CD45E6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Индексы среднемесячной номинальной заработной платы</w:t>
      </w:r>
    </w:p>
    <w:tbl>
      <w:tblPr>
        <w:tblW w:w="6255" w:type="dxa"/>
        <w:jc w:val="center"/>
        <w:tblLook w:val="04A0" w:firstRow="1" w:lastRow="0" w:firstColumn="1" w:lastColumn="0" w:noHBand="0" w:noVBand="1"/>
      </w:tblPr>
      <w:tblGrid>
        <w:gridCol w:w="1711"/>
        <w:gridCol w:w="2160"/>
        <w:gridCol w:w="2384"/>
      </w:tblGrid>
      <w:tr w:rsidR="00FF1854" w:rsidRPr="00975A25" w14:paraId="05800120" w14:textId="77777777" w:rsidTr="001C23DA">
        <w:trPr>
          <w:trHeight w:val="9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73FE" w14:textId="77777777" w:rsidR="00FF1854" w:rsidRPr="00975A25" w:rsidRDefault="00FF1854" w:rsidP="00975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A25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8859" w14:textId="77777777" w:rsidR="00FF1854" w:rsidRPr="00975A25" w:rsidRDefault="00FF1854" w:rsidP="00975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A25">
              <w:rPr>
                <w:rFonts w:ascii="Times New Roman" w:hAnsi="Times New Roman"/>
                <w:b/>
                <w:bCs/>
                <w:sz w:val="24"/>
                <w:szCs w:val="24"/>
              </w:rPr>
              <w:t>Абсолютное изменение, руб.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BD90" w14:textId="77777777" w:rsidR="00FF1854" w:rsidRPr="00975A25" w:rsidRDefault="00FF1854" w:rsidP="00975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A25">
              <w:rPr>
                <w:rFonts w:ascii="Times New Roman" w:hAnsi="Times New Roman"/>
                <w:b/>
                <w:bCs/>
                <w:sz w:val="24"/>
                <w:szCs w:val="24"/>
              </w:rPr>
              <w:t>Относительное изменение</w:t>
            </w:r>
          </w:p>
        </w:tc>
      </w:tr>
      <w:tr w:rsidR="00FF1854" w:rsidRPr="00975A25" w14:paraId="2AE0900E" w14:textId="77777777" w:rsidTr="001C23DA">
        <w:trPr>
          <w:trHeight w:val="263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EADD" w14:textId="77777777" w:rsidR="00FF1854" w:rsidRPr="00975A25" w:rsidRDefault="00FF1854" w:rsidP="0097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A25">
              <w:rPr>
                <w:rFonts w:ascii="Times New Roman" w:hAnsi="Times New Roman"/>
                <w:sz w:val="24"/>
                <w:szCs w:val="24"/>
              </w:rPr>
              <w:t>ЗП̅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E9A4" w14:textId="77777777" w:rsidR="00FF1854" w:rsidRPr="00975A25" w:rsidRDefault="00FF1854" w:rsidP="0097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A25">
              <w:rPr>
                <w:rFonts w:ascii="Times New Roman" w:hAnsi="Times New Roman"/>
                <w:sz w:val="24"/>
                <w:szCs w:val="24"/>
              </w:rPr>
              <w:t>4199,91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0BC0" w14:textId="77777777" w:rsidR="00FF1854" w:rsidRPr="00975A25" w:rsidRDefault="00FF1854" w:rsidP="0097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A25"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</w:tr>
      <w:tr w:rsidR="00FF1854" w:rsidRPr="00975A25" w14:paraId="42015364" w14:textId="77777777" w:rsidTr="001C23DA">
        <w:trPr>
          <w:trHeight w:val="263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319F" w14:textId="77777777" w:rsidR="00FF1854" w:rsidRPr="00975A25" w:rsidRDefault="00FF1854" w:rsidP="0097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A25">
              <w:rPr>
                <w:rFonts w:ascii="Times New Roman" w:hAnsi="Times New Roman"/>
                <w:sz w:val="24"/>
                <w:szCs w:val="24"/>
              </w:rPr>
              <w:t>ЗП̅(</w:t>
            </w:r>
            <w:proofErr w:type="spellStart"/>
            <w:r w:rsidRPr="00975A25">
              <w:rPr>
                <w:rFonts w:ascii="Times New Roman" w:hAnsi="Times New Roman"/>
                <w:sz w:val="24"/>
                <w:szCs w:val="24"/>
              </w:rPr>
              <w:t>ЗП̅j</w:t>
            </w:r>
            <w:proofErr w:type="spellEnd"/>
            <w:r w:rsidRPr="00975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4DA6" w14:textId="77777777" w:rsidR="00FF1854" w:rsidRPr="00975A25" w:rsidRDefault="00FF1854" w:rsidP="0097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A25">
              <w:rPr>
                <w:rFonts w:ascii="Times New Roman" w:hAnsi="Times New Roman"/>
                <w:sz w:val="24"/>
                <w:szCs w:val="24"/>
              </w:rPr>
              <w:t>4198,74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8536" w14:textId="77777777" w:rsidR="00FF1854" w:rsidRPr="00975A25" w:rsidRDefault="00FF1854" w:rsidP="0097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A25"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</w:tr>
      <w:tr w:rsidR="00FF1854" w:rsidRPr="00975A25" w14:paraId="638314D0" w14:textId="77777777" w:rsidTr="001C23DA">
        <w:trPr>
          <w:trHeight w:val="263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F706" w14:textId="77777777" w:rsidR="00FF1854" w:rsidRPr="00975A25" w:rsidRDefault="00FF1854" w:rsidP="0097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A25">
              <w:rPr>
                <w:rFonts w:ascii="Times New Roman" w:hAnsi="Times New Roman"/>
                <w:sz w:val="24"/>
                <w:szCs w:val="24"/>
              </w:rPr>
              <w:t>ЗП̅(</w:t>
            </w:r>
            <w:proofErr w:type="spellStart"/>
            <w:proofErr w:type="gramEnd"/>
            <w:r w:rsidRPr="00975A25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975A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76E6" w14:textId="77777777" w:rsidR="00FF1854" w:rsidRPr="00975A25" w:rsidRDefault="00FF1854" w:rsidP="0097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A25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279A" w14:textId="77777777" w:rsidR="00FF1854" w:rsidRPr="00975A25" w:rsidRDefault="00FF1854" w:rsidP="0097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A2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14:paraId="57727B7C" w14:textId="7577F8FB" w:rsidR="00FF1854" w:rsidRDefault="00FF1854" w:rsidP="00975A2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Анализ показал, что за рассматриваемый период среднемесячная заработная плата по экономике РФ в целом увеличилась на 11% или на 4199,91 руб. За счёт изменения среднемесячной заработной платы по видам экономической деятельности – увеличилась на 11%. или на 4198,74 руб. За счёт распределения численности занятых по видам экономической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деятельности – на 1,18 руб., что объясняется не большими изменениями в структуре среднегодовой численности занятых.</w:t>
      </w:r>
      <w:r w:rsidR="00330C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24E437C" w14:textId="61948C69" w:rsidR="00CB5D1E" w:rsidRDefault="00975A25" w:rsidP="00975A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важных</w:t>
      </w:r>
      <w:r w:rsidR="004B6A78">
        <w:rPr>
          <w:rFonts w:ascii="Times New Roman" w:hAnsi="Times New Roman"/>
          <w:sz w:val="28"/>
          <w:szCs w:val="28"/>
        </w:rPr>
        <w:t xml:space="preserve"> причиной дифференциации заработной платы является качество рабочей силы. Одним из таких критериев является уровень квалификации или образования работников. </w:t>
      </w:r>
      <w:r w:rsidR="00CB5D1E">
        <w:rPr>
          <w:rFonts w:ascii="Times New Roman" w:hAnsi="Times New Roman"/>
          <w:sz w:val="28"/>
          <w:szCs w:val="28"/>
        </w:rPr>
        <w:t xml:space="preserve">С целью анализа взаимосвязи между размером среднемесячной начисленной заработной платы и долей занятых с высшим образованием </w:t>
      </w:r>
      <w:r w:rsidR="00053A18">
        <w:rPr>
          <w:rFonts w:ascii="Times New Roman" w:hAnsi="Times New Roman"/>
          <w:sz w:val="28"/>
          <w:szCs w:val="28"/>
        </w:rPr>
        <w:t xml:space="preserve">была </w:t>
      </w:r>
      <w:r w:rsidR="00CB5D1E">
        <w:rPr>
          <w:rFonts w:ascii="Times New Roman" w:hAnsi="Times New Roman"/>
          <w:sz w:val="28"/>
          <w:szCs w:val="28"/>
        </w:rPr>
        <w:t>выполн</w:t>
      </w:r>
      <w:r w:rsidR="00053A18">
        <w:rPr>
          <w:rFonts w:ascii="Times New Roman" w:hAnsi="Times New Roman"/>
          <w:sz w:val="28"/>
          <w:szCs w:val="28"/>
        </w:rPr>
        <w:t>ена</w:t>
      </w:r>
      <w:r w:rsidR="00CB5D1E">
        <w:rPr>
          <w:rFonts w:ascii="Times New Roman" w:hAnsi="Times New Roman"/>
          <w:sz w:val="28"/>
          <w:szCs w:val="28"/>
        </w:rPr>
        <w:t xml:space="preserve"> группировк</w:t>
      </w:r>
      <w:r w:rsidR="00053A18">
        <w:rPr>
          <w:rFonts w:ascii="Times New Roman" w:hAnsi="Times New Roman"/>
          <w:sz w:val="28"/>
          <w:szCs w:val="28"/>
        </w:rPr>
        <w:t>а</w:t>
      </w:r>
      <w:r w:rsidR="00CB5D1E">
        <w:rPr>
          <w:rFonts w:ascii="Times New Roman" w:hAnsi="Times New Roman"/>
          <w:sz w:val="28"/>
          <w:szCs w:val="28"/>
        </w:rPr>
        <w:t xml:space="preserve"> по видам экономической деятельности (табл. </w:t>
      </w:r>
      <w:r w:rsidR="006E0CB4">
        <w:rPr>
          <w:rFonts w:ascii="Times New Roman" w:hAnsi="Times New Roman"/>
          <w:sz w:val="28"/>
          <w:szCs w:val="28"/>
        </w:rPr>
        <w:t>5</w:t>
      </w:r>
      <w:r w:rsidR="00CB5D1E">
        <w:rPr>
          <w:rFonts w:ascii="Times New Roman" w:hAnsi="Times New Roman"/>
          <w:sz w:val="28"/>
          <w:szCs w:val="28"/>
        </w:rPr>
        <w:t xml:space="preserve">). </w:t>
      </w:r>
      <w:r w:rsidR="00CB5D1E" w:rsidRPr="00537AEB">
        <w:rPr>
          <w:rFonts w:ascii="Times New Roman" w:hAnsi="Times New Roman"/>
          <w:sz w:val="28"/>
          <w:szCs w:val="28"/>
        </w:rPr>
        <w:t xml:space="preserve">На </w:t>
      </w:r>
      <w:r w:rsidR="00CB5D1E">
        <w:rPr>
          <w:rFonts w:ascii="Times New Roman" w:hAnsi="Times New Roman"/>
          <w:sz w:val="28"/>
          <w:szCs w:val="28"/>
        </w:rPr>
        <w:t>её</w:t>
      </w:r>
      <w:r w:rsidR="00CB5D1E" w:rsidRPr="00537AEB">
        <w:rPr>
          <w:rFonts w:ascii="Times New Roman" w:hAnsi="Times New Roman"/>
          <w:sz w:val="28"/>
          <w:szCs w:val="28"/>
        </w:rPr>
        <w:t xml:space="preserve"> основе можно предположить наличие прямой зависимости между исследуемыми признаками, так как частоты в таблицах расположены из верхнего </w:t>
      </w:r>
      <w:r w:rsidR="00CB5D1E">
        <w:rPr>
          <w:rFonts w:ascii="Times New Roman" w:hAnsi="Times New Roman"/>
          <w:sz w:val="28"/>
          <w:szCs w:val="28"/>
        </w:rPr>
        <w:t>левого</w:t>
      </w:r>
      <w:r w:rsidR="00CB5D1E" w:rsidRPr="00537AEB">
        <w:rPr>
          <w:rFonts w:ascii="Times New Roman" w:hAnsi="Times New Roman"/>
          <w:sz w:val="28"/>
          <w:szCs w:val="28"/>
        </w:rPr>
        <w:t xml:space="preserve"> угла в нижний </w:t>
      </w:r>
      <w:r w:rsidR="00CB5D1E">
        <w:rPr>
          <w:rFonts w:ascii="Times New Roman" w:hAnsi="Times New Roman"/>
          <w:sz w:val="28"/>
          <w:szCs w:val="28"/>
        </w:rPr>
        <w:t xml:space="preserve">правый </w:t>
      </w:r>
      <w:r w:rsidR="00CB5D1E" w:rsidRPr="00537AEB">
        <w:rPr>
          <w:rFonts w:ascii="Times New Roman" w:hAnsi="Times New Roman"/>
          <w:sz w:val="28"/>
          <w:szCs w:val="28"/>
        </w:rPr>
        <w:t>угол. Таким образом, с увеличением</w:t>
      </w:r>
      <w:r w:rsidR="00CB5D1E">
        <w:rPr>
          <w:rFonts w:ascii="Times New Roman" w:hAnsi="Times New Roman"/>
          <w:sz w:val="28"/>
          <w:szCs w:val="28"/>
        </w:rPr>
        <w:t xml:space="preserve"> размера начисленной заработной платы возрастает доля занятых с высшим образованием в отдельном виде деятельности.</w:t>
      </w:r>
    </w:p>
    <w:p w14:paraId="5F7FAB23" w14:textId="56E5CEDD" w:rsidR="00CB5D1E" w:rsidRDefault="00CB5D1E" w:rsidP="00975A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 с наибольшей заработной платой и наибольшей долей занятых с высшим образованием вошли: «</w:t>
      </w:r>
      <w:r w:rsidRPr="008559F5">
        <w:rPr>
          <w:rFonts w:ascii="Times New Roman" w:hAnsi="Times New Roman"/>
          <w:sz w:val="28"/>
          <w:szCs w:val="28"/>
        </w:rPr>
        <w:t>Государственное управление и обеспечение военной безопасности социальное обеспечение</w:t>
      </w:r>
      <w:r>
        <w:rPr>
          <w:rFonts w:ascii="Times New Roman" w:hAnsi="Times New Roman"/>
          <w:sz w:val="28"/>
          <w:szCs w:val="28"/>
        </w:rPr>
        <w:t>»,</w:t>
      </w:r>
      <w:r w:rsidRPr="00855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</w:t>
      </w:r>
      <w:r w:rsidRPr="008559F5">
        <w:rPr>
          <w:rFonts w:ascii="Times New Roman" w:hAnsi="Times New Roman"/>
          <w:sz w:val="28"/>
          <w:szCs w:val="28"/>
        </w:rPr>
        <w:t>еятельность профессиональная,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9F5">
        <w:rPr>
          <w:rFonts w:ascii="Times New Roman" w:hAnsi="Times New Roman"/>
          <w:sz w:val="28"/>
          <w:szCs w:val="28"/>
        </w:rPr>
        <w:t>научная и техническая</w:t>
      </w:r>
      <w:r>
        <w:rPr>
          <w:rFonts w:ascii="Times New Roman" w:hAnsi="Times New Roman"/>
          <w:sz w:val="28"/>
          <w:szCs w:val="28"/>
        </w:rPr>
        <w:t>»,</w:t>
      </w:r>
      <w:r w:rsidRPr="00855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</w:t>
      </w:r>
      <w:r w:rsidRPr="008559F5">
        <w:rPr>
          <w:rFonts w:ascii="Times New Roman" w:hAnsi="Times New Roman"/>
          <w:sz w:val="28"/>
          <w:szCs w:val="28"/>
        </w:rPr>
        <w:t>еятельность в области информации и связи</w:t>
      </w:r>
      <w:r w:rsidR="00A61D6D">
        <w:rPr>
          <w:rFonts w:ascii="Times New Roman" w:hAnsi="Times New Roman"/>
          <w:sz w:val="28"/>
          <w:szCs w:val="28"/>
        </w:rPr>
        <w:t xml:space="preserve">», </w:t>
      </w:r>
      <w:r w:rsidRPr="008559F5">
        <w:rPr>
          <w:rFonts w:ascii="Times New Roman" w:hAnsi="Times New Roman"/>
          <w:sz w:val="28"/>
          <w:szCs w:val="28"/>
        </w:rPr>
        <w:t xml:space="preserve"> </w:t>
      </w:r>
      <w:r w:rsidR="00A61D6D">
        <w:rPr>
          <w:rFonts w:ascii="Times New Roman" w:hAnsi="Times New Roman"/>
          <w:sz w:val="28"/>
          <w:szCs w:val="28"/>
        </w:rPr>
        <w:t>«Д</w:t>
      </w:r>
      <w:r w:rsidRPr="008559F5">
        <w:rPr>
          <w:rFonts w:ascii="Times New Roman" w:hAnsi="Times New Roman"/>
          <w:sz w:val="28"/>
          <w:szCs w:val="28"/>
        </w:rPr>
        <w:t>еятельность финансовая и страховая</w:t>
      </w:r>
      <w:r>
        <w:rPr>
          <w:rFonts w:ascii="Times New Roman" w:hAnsi="Times New Roman"/>
          <w:sz w:val="28"/>
          <w:szCs w:val="28"/>
        </w:rPr>
        <w:t>».</w:t>
      </w:r>
    </w:p>
    <w:p w14:paraId="3FD5354E" w14:textId="493DE50D" w:rsidR="00CB5D1E" w:rsidRDefault="00CB5D1E" w:rsidP="00975A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 с наименьшей заработной платой и наименьшей долей занятых с высшим образованием вошли: «</w:t>
      </w:r>
      <w:r w:rsidRPr="008559F5">
        <w:rPr>
          <w:rFonts w:ascii="Times New Roman" w:hAnsi="Times New Roman"/>
          <w:sz w:val="28"/>
          <w:szCs w:val="28"/>
        </w:rPr>
        <w:t>Деятельность гостиниц и предприятий общественного питания</w:t>
      </w:r>
      <w:r>
        <w:rPr>
          <w:rFonts w:ascii="Times New Roman" w:hAnsi="Times New Roman"/>
          <w:sz w:val="28"/>
          <w:szCs w:val="28"/>
        </w:rPr>
        <w:t>», «С</w:t>
      </w:r>
      <w:r w:rsidRPr="008559F5">
        <w:rPr>
          <w:rFonts w:ascii="Times New Roman" w:hAnsi="Times New Roman"/>
          <w:sz w:val="28"/>
          <w:szCs w:val="28"/>
        </w:rPr>
        <w:t>ельское, лесное хозяйство, охота, рыболовство и рыбоводство</w:t>
      </w:r>
      <w:r>
        <w:rPr>
          <w:rFonts w:ascii="Times New Roman" w:hAnsi="Times New Roman"/>
          <w:sz w:val="28"/>
          <w:szCs w:val="28"/>
        </w:rPr>
        <w:t>»,</w:t>
      </w:r>
      <w:r w:rsidRPr="00855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</w:t>
      </w:r>
      <w:r w:rsidRPr="008559F5">
        <w:rPr>
          <w:rFonts w:ascii="Times New Roman" w:hAnsi="Times New Roman"/>
          <w:sz w:val="28"/>
          <w:szCs w:val="28"/>
        </w:rPr>
        <w:t>одоснабжение</w:t>
      </w:r>
      <w:r>
        <w:rPr>
          <w:rFonts w:ascii="Times New Roman" w:hAnsi="Times New Roman"/>
          <w:sz w:val="28"/>
          <w:szCs w:val="28"/>
        </w:rPr>
        <w:t>,</w:t>
      </w:r>
      <w:r w:rsidRPr="008559F5">
        <w:rPr>
          <w:rFonts w:ascii="Times New Roman" w:hAnsi="Times New Roman"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</w:t>
      </w:r>
      <w:r>
        <w:rPr>
          <w:rFonts w:ascii="Times New Roman" w:hAnsi="Times New Roman"/>
          <w:sz w:val="28"/>
          <w:szCs w:val="28"/>
        </w:rPr>
        <w:t>»,</w:t>
      </w:r>
      <w:r w:rsidRPr="00855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</w:t>
      </w:r>
      <w:r w:rsidRPr="008559F5">
        <w:rPr>
          <w:rFonts w:ascii="Times New Roman" w:hAnsi="Times New Roman"/>
          <w:sz w:val="28"/>
          <w:szCs w:val="28"/>
        </w:rPr>
        <w:t>еятельность административная и сопутствующие дополнительные услуги</w:t>
      </w:r>
      <w:r>
        <w:rPr>
          <w:rFonts w:ascii="Times New Roman" w:hAnsi="Times New Roman"/>
          <w:sz w:val="28"/>
          <w:szCs w:val="28"/>
        </w:rPr>
        <w:t>».</w:t>
      </w:r>
    </w:p>
    <w:p w14:paraId="716AD823" w14:textId="66890BB9" w:rsidR="00CB5D1E" w:rsidRDefault="00CB5D1E" w:rsidP="00975A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интерес представляет вид деятельности с низкой среднемесячной начисленной заработной платой, но высокой долей занятых с высшим образованием. Таким является образование. </w:t>
      </w:r>
    </w:p>
    <w:p w14:paraId="2AF298A6" w14:textId="3293968B" w:rsidR="00CB5D1E" w:rsidRDefault="00CB5D1E" w:rsidP="00975A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заметить, что в группу с наибольшими заработными платами и наименьшей долей работников с высшим образованием не попал ни один вид </w:t>
      </w:r>
      <w:r>
        <w:rPr>
          <w:rFonts w:ascii="Times New Roman" w:hAnsi="Times New Roman"/>
          <w:sz w:val="28"/>
          <w:szCs w:val="28"/>
        </w:rPr>
        <w:lastRenderedPageBreak/>
        <w:t>деятельности, что говорит о необходимости достаточного уровня образования для хорошего заработка.</w:t>
      </w:r>
    </w:p>
    <w:p w14:paraId="37D6DB5E" w14:textId="77777777" w:rsidR="00CB5D1E" w:rsidRDefault="00CB5D1E" w:rsidP="00CB5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8AA6E6E" w14:textId="77777777" w:rsidR="00CB5D1E" w:rsidRDefault="00CB5D1E" w:rsidP="00CB5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CB5D1E" w:rsidSect="0027650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5B3E2A" w14:textId="000778D6" w:rsidR="00CB5D1E" w:rsidRDefault="00CB5D1E" w:rsidP="005E3A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6E0C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Группировка видов экономической деятельности по размеру среднемесячной начисленной заработной плате и доле занятых с высшим образованием</w:t>
      </w:r>
    </w:p>
    <w:p w14:paraId="406CA0AF" w14:textId="77777777" w:rsidR="00CB5D1E" w:rsidRDefault="00CB5D1E" w:rsidP="00CB5D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9C7">
        <w:rPr>
          <w:noProof/>
        </w:rPr>
        <w:drawing>
          <wp:inline distT="0" distB="0" distL="0" distR="0" wp14:anchorId="69E3D9B3" wp14:editId="65238EE7">
            <wp:extent cx="9251950" cy="495363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FB25" w14:textId="77777777" w:rsidR="00A1727F" w:rsidRDefault="00A1727F" w:rsidP="00CB5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A1727F" w:rsidSect="00CB5D1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DF824C7" w14:textId="2C357D45" w:rsidR="00C640ED" w:rsidRPr="003850FB" w:rsidRDefault="003850FB" w:rsidP="00975A25">
      <w:pPr>
        <w:pStyle w:val="ac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850FB">
        <w:rPr>
          <w:rFonts w:ascii="Times New Roman" w:hAnsi="Times New Roman"/>
          <w:b/>
          <w:bCs/>
          <w:sz w:val="28"/>
          <w:szCs w:val="28"/>
        </w:rPr>
        <w:lastRenderedPageBreak/>
        <w:t>Обсуждение</w:t>
      </w:r>
    </w:p>
    <w:p w14:paraId="04F15121" w14:textId="776CBB1C" w:rsidR="003850FB" w:rsidRDefault="0019540D" w:rsidP="00975A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</w:t>
      </w:r>
      <w:r w:rsidR="00DF78EC">
        <w:rPr>
          <w:rFonts w:ascii="Times New Roman" w:hAnsi="Times New Roman"/>
          <w:sz w:val="28"/>
          <w:szCs w:val="28"/>
        </w:rPr>
        <w:t xml:space="preserve"> сделать вывод</w:t>
      </w:r>
      <w:r>
        <w:rPr>
          <w:rFonts w:ascii="Times New Roman" w:hAnsi="Times New Roman"/>
          <w:sz w:val="28"/>
          <w:szCs w:val="28"/>
        </w:rPr>
        <w:t>, что первая гипотеза (</w:t>
      </w:r>
      <w:r w:rsidR="0041795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ифференциация заработной платы по видам экономической деятельности сохраняет свою актуальность) была подтверждена. На основе анализа </w:t>
      </w:r>
      <w:r w:rsidR="00BF61B7">
        <w:rPr>
          <w:rFonts w:ascii="Times New Roman" w:hAnsi="Times New Roman"/>
          <w:sz w:val="28"/>
          <w:szCs w:val="28"/>
        </w:rPr>
        <w:t>дифференциации заработной платы за последние три года мы проследили тенденцию к росту данного показателя, следовательно, можно говорить о значимости проблемы на сегодняшний день.</w:t>
      </w:r>
    </w:p>
    <w:p w14:paraId="5367BE97" w14:textId="4DE146D3" w:rsidR="00BF61B7" w:rsidRDefault="00BF61B7" w:rsidP="00975A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Вторую гипотезу (</w:t>
      </w:r>
      <w:r w:rsidR="004179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дним из наиболее важных факторов, влияющих на уровень заработной платы, является образование и квалификация работников) также можно считать подтверждённой. </w:t>
      </w:r>
      <w:r w:rsidR="000B796C">
        <w:rPr>
          <w:rFonts w:ascii="Times New Roman" w:hAnsi="Times New Roman"/>
          <w:sz w:val="28"/>
          <w:szCs w:val="28"/>
        </w:rPr>
        <w:t>Мы убедились в этом</w:t>
      </w:r>
      <w:r w:rsidR="00541C2A">
        <w:rPr>
          <w:rFonts w:ascii="Times New Roman" w:hAnsi="Times New Roman"/>
          <w:sz w:val="28"/>
          <w:szCs w:val="28"/>
        </w:rPr>
        <w:t>, проведя группировку видов экономической деятельности на основании уровня оплаты труда и доли занятых с высшим образованием</w:t>
      </w:r>
      <w:r w:rsidR="00AD417C">
        <w:rPr>
          <w:rFonts w:ascii="Times New Roman" w:hAnsi="Times New Roman"/>
          <w:sz w:val="28"/>
          <w:szCs w:val="28"/>
        </w:rPr>
        <w:t>: с увеличением заработной платы увеличивалась и доля занятых с высшим образованием.</w:t>
      </w:r>
    </w:p>
    <w:p w14:paraId="3E6116DF" w14:textId="00B4A713" w:rsidR="00541C2A" w:rsidRDefault="00541C2A" w:rsidP="00975A25">
      <w:pPr>
        <w:pStyle w:val="ac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41C2A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14:paraId="56C4D3F3" w14:textId="68F2600F" w:rsidR="00E37C16" w:rsidRDefault="00F07AD7" w:rsidP="00975A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исследования было выявлено, что </w:t>
      </w:r>
      <w:r w:rsidR="00391193">
        <w:rPr>
          <w:rFonts w:ascii="Times New Roman" w:hAnsi="Times New Roman"/>
          <w:sz w:val="28"/>
          <w:szCs w:val="28"/>
        </w:rPr>
        <w:t>в</w:t>
      </w:r>
      <w:r w:rsidR="00CB0F42">
        <w:rPr>
          <w:rFonts w:ascii="Times New Roman" w:hAnsi="Times New Roman"/>
          <w:sz w:val="28"/>
          <w:szCs w:val="28"/>
        </w:rPr>
        <w:t>ысокий уровень оплаты</w:t>
      </w:r>
      <w:r w:rsidR="0019775B">
        <w:rPr>
          <w:rFonts w:ascii="Times New Roman" w:hAnsi="Times New Roman"/>
          <w:sz w:val="28"/>
          <w:szCs w:val="28"/>
        </w:rPr>
        <w:t xml:space="preserve"> труда</w:t>
      </w:r>
      <w:r w:rsidR="00CB0F42">
        <w:rPr>
          <w:rFonts w:ascii="Times New Roman" w:hAnsi="Times New Roman"/>
          <w:sz w:val="28"/>
          <w:szCs w:val="28"/>
        </w:rPr>
        <w:t xml:space="preserve"> обусловлен необходимостью достаточной квалификации</w:t>
      </w:r>
      <w:r w:rsidR="000D3FD4">
        <w:rPr>
          <w:rFonts w:ascii="Times New Roman" w:hAnsi="Times New Roman"/>
          <w:sz w:val="28"/>
          <w:szCs w:val="28"/>
        </w:rPr>
        <w:t>. Т</w:t>
      </w:r>
      <w:r w:rsidR="0019775B">
        <w:rPr>
          <w:rFonts w:ascii="Times New Roman" w:hAnsi="Times New Roman"/>
          <w:sz w:val="28"/>
          <w:szCs w:val="28"/>
        </w:rPr>
        <w:t xml:space="preserve">акже высокооплачиваемые виды деятельности вносят вклад в развитие экономики страны. </w:t>
      </w:r>
    </w:p>
    <w:p w14:paraId="3EFD265F" w14:textId="478D2527" w:rsidR="009B5D38" w:rsidRDefault="00315870" w:rsidP="00975A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анализу динамики было выявлено, что наиболее перспективным видом деятельности с точки зрения роста уровня среднемесячной заработной платы является «Деятельност</w:t>
      </w:r>
      <w:r w:rsidR="00FA142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 области здравоохранения и социальных услуг».</w:t>
      </w:r>
    </w:p>
    <w:p w14:paraId="5FFD03A1" w14:textId="5C9AF02F" w:rsidR="00850FDD" w:rsidRPr="00A02588" w:rsidRDefault="00DE3D8C" w:rsidP="00975A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положительной динамики номинальной заработной платы по каждому виду экономической деятельности и учитывая рост реальной заработной платы, можно сделать вывод об улучшении уровня жизни в </w:t>
      </w:r>
      <w:r w:rsidR="00A61D6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Федерации.  </w:t>
      </w:r>
    </w:p>
    <w:p w14:paraId="5355813A" w14:textId="277C02A2" w:rsidR="00F07AD7" w:rsidRDefault="00F07AD7" w:rsidP="00975A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были рассмотрены самые высокооплачиваемые и низкооплачиваемые виды деятельности, их дифференциация,</w:t>
      </w:r>
      <w:r w:rsidR="00FA142C">
        <w:rPr>
          <w:rFonts w:ascii="Times New Roman" w:hAnsi="Times New Roman"/>
          <w:sz w:val="28"/>
          <w:szCs w:val="28"/>
        </w:rPr>
        <w:t xml:space="preserve"> рассмотрены изменения заработной платы по видам экономической деятельности, </w:t>
      </w:r>
      <w:r>
        <w:rPr>
          <w:rFonts w:ascii="Times New Roman" w:hAnsi="Times New Roman"/>
          <w:sz w:val="28"/>
          <w:szCs w:val="28"/>
        </w:rPr>
        <w:t xml:space="preserve"> проведён индексный анализ динамики среднемесячной номинальной </w:t>
      </w:r>
      <w:r>
        <w:rPr>
          <w:rFonts w:ascii="Times New Roman" w:hAnsi="Times New Roman"/>
          <w:sz w:val="28"/>
          <w:szCs w:val="28"/>
        </w:rPr>
        <w:lastRenderedPageBreak/>
        <w:t>заработной платы</w:t>
      </w:r>
      <w:r w:rsidRPr="00374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2018 - 2019 гг. по всей экономике России в целом, в том числе за счёт изменения среднемесячной заработной платы по различным видам экономической деятельности и за счёт изменения распределения численности занятых по видам экономической деятельности, построена комбинированная группировка видов деятельности по уровню оплаты труда и доли занятых с высшим образованием. </w:t>
      </w:r>
    </w:p>
    <w:p w14:paraId="0E6110B5" w14:textId="5916460E" w:rsidR="00BF61B7" w:rsidRDefault="00F628B0" w:rsidP="00975A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628B0">
        <w:rPr>
          <w:rFonts w:ascii="Times New Roman" w:hAnsi="Times New Roman"/>
          <w:b/>
          <w:bCs/>
          <w:sz w:val="28"/>
          <w:szCs w:val="28"/>
        </w:rPr>
        <w:t>Благодарность</w:t>
      </w:r>
    </w:p>
    <w:p w14:paraId="468A6561" w14:textId="2D788BDF" w:rsidR="00F628B0" w:rsidRDefault="00F628B0" w:rsidP="00975A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выражает признательность за помощь в проведении исследовательской работы </w:t>
      </w:r>
      <w:r w:rsidR="00975A25">
        <w:rPr>
          <w:rFonts w:ascii="Times New Roman" w:hAnsi="Times New Roman"/>
          <w:sz w:val="28"/>
          <w:szCs w:val="28"/>
        </w:rPr>
        <w:t xml:space="preserve">к.э.н., </w:t>
      </w:r>
      <w:r>
        <w:rPr>
          <w:rFonts w:ascii="Times New Roman" w:hAnsi="Times New Roman"/>
          <w:sz w:val="28"/>
          <w:szCs w:val="28"/>
        </w:rPr>
        <w:t>доценту кафедры статистики Государственного университета управления Першиной Татьяне Алексеевне.</w:t>
      </w:r>
    </w:p>
    <w:p w14:paraId="0CEBF697" w14:textId="2FEA721A" w:rsidR="00F628B0" w:rsidRPr="00F628B0" w:rsidRDefault="00F628B0" w:rsidP="00975A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628B0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14:paraId="30E3E6B6" w14:textId="77777777" w:rsidR="00742C33" w:rsidRDefault="00742C33" w:rsidP="00975A25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D72">
        <w:rPr>
          <w:rFonts w:ascii="Times New Roman" w:hAnsi="Times New Roman"/>
          <w:sz w:val="28"/>
          <w:szCs w:val="28"/>
        </w:rPr>
        <w:t>Ефимова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D72">
        <w:rPr>
          <w:rFonts w:ascii="Times New Roman" w:hAnsi="Times New Roman"/>
          <w:sz w:val="28"/>
          <w:szCs w:val="28"/>
        </w:rPr>
        <w:t>Р., Бычкова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D72">
        <w:rPr>
          <w:rFonts w:ascii="Times New Roman" w:hAnsi="Times New Roman"/>
          <w:sz w:val="28"/>
          <w:szCs w:val="28"/>
        </w:rPr>
        <w:t>Г., Михайлов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D72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D72">
        <w:rPr>
          <w:rFonts w:ascii="Times New Roman" w:hAnsi="Times New Roman"/>
          <w:sz w:val="28"/>
          <w:szCs w:val="28"/>
        </w:rPr>
        <w:t>Социально-экономическая статистика: учебник для академического бакалавриата. Серия: Бакалавр. Академический курс.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127B3">
        <w:rPr>
          <w:rFonts w:ascii="Times New Roman" w:hAnsi="Times New Roman"/>
          <w:sz w:val="28"/>
          <w:szCs w:val="28"/>
        </w:rPr>
        <w:t xml:space="preserve">М.: Издательство </w:t>
      </w:r>
      <w:proofErr w:type="spellStart"/>
      <w:r w:rsidRPr="006127B3">
        <w:rPr>
          <w:rFonts w:ascii="Times New Roman" w:hAnsi="Times New Roman"/>
          <w:sz w:val="28"/>
          <w:szCs w:val="28"/>
        </w:rPr>
        <w:t>Юрайт</w:t>
      </w:r>
      <w:proofErr w:type="spellEnd"/>
      <w:r w:rsidRPr="006127B3">
        <w:rPr>
          <w:rFonts w:ascii="Times New Roman" w:hAnsi="Times New Roman"/>
          <w:sz w:val="28"/>
          <w:szCs w:val="28"/>
        </w:rPr>
        <w:t>, 2016 – 528 c.</w:t>
      </w:r>
    </w:p>
    <w:p w14:paraId="32169CCC" w14:textId="77777777" w:rsidR="00742C33" w:rsidRDefault="00742C33" w:rsidP="00975A25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2B2">
        <w:rPr>
          <w:rFonts w:ascii="Times New Roman" w:hAnsi="Times New Roman"/>
          <w:sz w:val="28"/>
          <w:szCs w:val="28"/>
        </w:rPr>
        <w:t>Ефимова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2B2">
        <w:rPr>
          <w:rFonts w:ascii="Times New Roman" w:hAnsi="Times New Roman"/>
          <w:sz w:val="28"/>
          <w:szCs w:val="28"/>
        </w:rPr>
        <w:t>Р., Петрова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2B2">
        <w:rPr>
          <w:rFonts w:ascii="Times New Roman" w:hAnsi="Times New Roman"/>
          <w:sz w:val="28"/>
          <w:szCs w:val="28"/>
        </w:rPr>
        <w:t>В.,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 И., Михайлов М. А. Общая теория статистики. Практикум: учеб. Пособие для академического бакалавриата / М. Р. Ефимова </w:t>
      </w:r>
      <w:r w:rsidRPr="00D367D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D367D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; под ред. М. Р. Ефимовой – 4-е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М.: Издательство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2016. – 355 с. – Серия: Бакалавр. Академический курс</w:t>
      </w:r>
    </w:p>
    <w:p w14:paraId="288A1F4B" w14:textId="77777777" w:rsidR="00742C33" w:rsidRDefault="00742C33" w:rsidP="00975A25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2B2">
        <w:rPr>
          <w:rFonts w:ascii="Times New Roman" w:hAnsi="Times New Roman"/>
          <w:sz w:val="28"/>
          <w:szCs w:val="28"/>
        </w:rPr>
        <w:t>Ефимова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2B2">
        <w:rPr>
          <w:rFonts w:ascii="Times New Roman" w:hAnsi="Times New Roman"/>
          <w:sz w:val="28"/>
          <w:szCs w:val="28"/>
        </w:rPr>
        <w:t>Р., Петрова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2B2">
        <w:rPr>
          <w:rFonts w:ascii="Times New Roman" w:hAnsi="Times New Roman"/>
          <w:sz w:val="28"/>
          <w:szCs w:val="28"/>
        </w:rPr>
        <w:t>В., Румянцев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2B2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2B2">
        <w:rPr>
          <w:rFonts w:ascii="Times New Roman" w:hAnsi="Times New Roman"/>
          <w:sz w:val="28"/>
          <w:szCs w:val="28"/>
        </w:rPr>
        <w:t xml:space="preserve">Общая теория статистики: Учебник. – 2-e изд., </w:t>
      </w:r>
      <w:proofErr w:type="spellStart"/>
      <w:r w:rsidRPr="00B252B2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B252B2">
        <w:rPr>
          <w:rFonts w:ascii="Times New Roman" w:hAnsi="Times New Roman"/>
          <w:sz w:val="28"/>
          <w:szCs w:val="28"/>
        </w:rPr>
        <w:t>.</w:t>
      </w:r>
      <w:proofErr w:type="gramEnd"/>
      <w:r w:rsidRPr="00B252B2">
        <w:rPr>
          <w:rFonts w:ascii="Times New Roman" w:hAnsi="Times New Roman"/>
          <w:sz w:val="28"/>
          <w:szCs w:val="28"/>
        </w:rPr>
        <w:t xml:space="preserve"> и доп.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252B2">
        <w:rPr>
          <w:rFonts w:ascii="Times New Roman" w:hAnsi="Times New Roman"/>
          <w:sz w:val="28"/>
          <w:szCs w:val="28"/>
        </w:rPr>
        <w:t>М.: ИНФРА- М, 2012 – 416 с.</w:t>
      </w:r>
    </w:p>
    <w:p w14:paraId="55DF4A46" w14:textId="3DD5E3BD" w:rsidR="00742C33" w:rsidRPr="00CF46B0" w:rsidRDefault="00742C33" w:rsidP="00975A25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Кремер Н. Ш., </w:t>
      </w:r>
      <w:proofErr w:type="spellStart"/>
      <w:r>
        <w:rPr>
          <w:rFonts w:ascii="Times New Roman" w:hAnsi="Times New Roman"/>
          <w:sz w:val="28"/>
          <w:szCs w:val="28"/>
        </w:rPr>
        <w:t>Путко</w:t>
      </w:r>
      <w:proofErr w:type="spellEnd"/>
      <w:r>
        <w:rPr>
          <w:rFonts w:ascii="Times New Roman" w:hAnsi="Times New Roman"/>
          <w:sz w:val="28"/>
          <w:szCs w:val="28"/>
        </w:rPr>
        <w:t xml:space="preserve"> Б. А. Эконометрика: учебник и практикум для вузов. – 4-е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М.: Издательство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2020. – 308 с.</w:t>
      </w:r>
    </w:p>
    <w:p w14:paraId="001FF18C" w14:textId="77777777" w:rsidR="00742C33" w:rsidRDefault="00742C33" w:rsidP="00975A25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Общероссийский классификатор видов экономической деятельности ОКВЭД-2, 2017г.</w:t>
      </w:r>
    </w:p>
    <w:p w14:paraId="5D8E01F9" w14:textId="77777777" w:rsidR="00742C33" w:rsidRDefault="00742C33" w:rsidP="00975A25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Федеральной службы государственной статистики </w:t>
      </w:r>
      <w:r w:rsidRPr="00F752D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F752D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Режим доступа: </w:t>
      </w:r>
      <w:r w:rsidRPr="00917122">
        <w:rPr>
          <w:rFonts w:ascii="Times New Roman" w:hAnsi="Times New Roman"/>
          <w:sz w:val="28"/>
          <w:szCs w:val="28"/>
        </w:rPr>
        <w:t>https://www.gks.ru/</w:t>
      </w:r>
    </w:p>
    <w:p w14:paraId="1B8A7E8F" w14:textId="77777777" w:rsidR="00742C33" w:rsidRDefault="00742C33" w:rsidP="00975A25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 и занятость в России. 2019 </w:t>
      </w:r>
      <w:r w:rsidRPr="00F752D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F752D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Режим доступа: </w:t>
      </w:r>
      <w:r w:rsidRPr="00383590">
        <w:rPr>
          <w:rFonts w:ascii="Times New Roman" w:hAnsi="Times New Roman"/>
          <w:sz w:val="28"/>
          <w:szCs w:val="28"/>
        </w:rPr>
        <w:t>https://gks.ru/bgd/regl/b19_36/Main.htm</w:t>
      </w:r>
    </w:p>
    <w:bookmarkEnd w:id="1"/>
    <w:p w14:paraId="50282850" w14:textId="77777777" w:rsidR="00F628B0" w:rsidRPr="00F628B0" w:rsidRDefault="00F628B0" w:rsidP="00975A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628B0" w:rsidRPr="00F628B0" w:rsidSect="002E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1B95" w16cex:dateUtc="2020-05-25T07:24:00Z"/>
  <w16cex:commentExtensible w16cex:durableId="22761F66" w16cex:dateUtc="2020-05-25T07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76D03" w14:textId="77777777" w:rsidR="007943CE" w:rsidRDefault="007943CE" w:rsidP="00772279">
      <w:pPr>
        <w:spacing w:after="0" w:line="240" w:lineRule="auto"/>
      </w:pPr>
      <w:r>
        <w:separator/>
      </w:r>
    </w:p>
  </w:endnote>
  <w:endnote w:type="continuationSeparator" w:id="0">
    <w:p w14:paraId="2AD6AF26" w14:textId="77777777" w:rsidR="007943CE" w:rsidRDefault="007943CE" w:rsidP="007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8500834"/>
      <w:docPartObj>
        <w:docPartGallery w:val="Page Numbers (Bottom of Page)"/>
        <w:docPartUnique/>
      </w:docPartObj>
    </w:sdtPr>
    <w:sdtEndPr/>
    <w:sdtContent>
      <w:p w14:paraId="536424F7" w14:textId="29A6842B" w:rsidR="00772279" w:rsidRDefault="0077227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3AA8C4" w14:textId="77777777" w:rsidR="00772279" w:rsidRDefault="007722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89BF0" w14:textId="77777777" w:rsidR="007943CE" w:rsidRDefault="007943CE" w:rsidP="00772279">
      <w:pPr>
        <w:spacing w:after="0" w:line="240" w:lineRule="auto"/>
      </w:pPr>
      <w:r>
        <w:separator/>
      </w:r>
    </w:p>
  </w:footnote>
  <w:footnote w:type="continuationSeparator" w:id="0">
    <w:p w14:paraId="616A86A9" w14:textId="77777777" w:rsidR="007943CE" w:rsidRDefault="007943CE" w:rsidP="007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1BCD"/>
    <w:multiLevelType w:val="hybridMultilevel"/>
    <w:tmpl w:val="BA24968E"/>
    <w:lvl w:ilvl="0" w:tplc="9DBA5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972659"/>
    <w:multiLevelType w:val="hybridMultilevel"/>
    <w:tmpl w:val="B2FC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55DE"/>
    <w:multiLevelType w:val="hybridMultilevel"/>
    <w:tmpl w:val="315C197C"/>
    <w:lvl w:ilvl="0" w:tplc="02D4F7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5D16DC"/>
    <w:multiLevelType w:val="hybridMultilevel"/>
    <w:tmpl w:val="7B3E7C48"/>
    <w:lvl w:ilvl="0" w:tplc="81A2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38"/>
    <w:rsid w:val="00014405"/>
    <w:rsid w:val="0003793A"/>
    <w:rsid w:val="000524BF"/>
    <w:rsid w:val="00053A18"/>
    <w:rsid w:val="000B4425"/>
    <w:rsid w:val="000B796C"/>
    <w:rsid w:val="000C6928"/>
    <w:rsid w:val="000D3FD4"/>
    <w:rsid w:val="001372CB"/>
    <w:rsid w:val="00144B96"/>
    <w:rsid w:val="001653C4"/>
    <w:rsid w:val="0016747A"/>
    <w:rsid w:val="001950F1"/>
    <w:rsid w:val="0019540D"/>
    <w:rsid w:val="0019775B"/>
    <w:rsid w:val="001B2CBF"/>
    <w:rsid w:val="001B7C55"/>
    <w:rsid w:val="001C23DA"/>
    <w:rsid w:val="001D0FF5"/>
    <w:rsid w:val="001F4DAE"/>
    <w:rsid w:val="00204B6C"/>
    <w:rsid w:val="0023629F"/>
    <w:rsid w:val="002C31DC"/>
    <w:rsid w:val="002C4376"/>
    <w:rsid w:val="002E35E5"/>
    <w:rsid w:val="00305538"/>
    <w:rsid w:val="00315870"/>
    <w:rsid w:val="003250A5"/>
    <w:rsid w:val="00330C08"/>
    <w:rsid w:val="00346DBE"/>
    <w:rsid w:val="003850FB"/>
    <w:rsid w:val="00391193"/>
    <w:rsid w:val="003D64FF"/>
    <w:rsid w:val="003E0670"/>
    <w:rsid w:val="00411884"/>
    <w:rsid w:val="00417953"/>
    <w:rsid w:val="004208C6"/>
    <w:rsid w:val="004245C3"/>
    <w:rsid w:val="0047031D"/>
    <w:rsid w:val="0048246B"/>
    <w:rsid w:val="00487658"/>
    <w:rsid w:val="004A6B49"/>
    <w:rsid w:val="004B6A78"/>
    <w:rsid w:val="004C720D"/>
    <w:rsid w:val="00511D55"/>
    <w:rsid w:val="00541C2A"/>
    <w:rsid w:val="00556547"/>
    <w:rsid w:val="00565566"/>
    <w:rsid w:val="00575525"/>
    <w:rsid w:val="0058112E"/>
    <w:rsid w:val="00594E50"/>
    <w:rsid w:val="005C5FA3"/>
    <w:rsid w:val="005E3A23"/>
    <w:rsid w:val="005F2F9A"/>
    <w:rsid w:val="006427FA"/>
    <w:rsid w:val="00671113"/>
    <w:rsid w:val="00694182"/>
    <w:rsid w:val="006A18DA"/>
    <w:rsid w:val="006E0CB4"/>
    <w:rsid w:val="00736851"/>
    <w:rsid w:val="00742C33"/>
    <w:rsid w:val="0075210D"/>
    <w:rsid w:val="00764484"/>
    <w:rsid w:val="00772279"/>
    <w:rsid w:val="007943CE"/>
    <w:rsid w:val="007F0E63"/>
    <w:rsid w:val="00850FDD"/>
    <w:rsid w:val="00872B19"/>
    <w:rsid w:val="00881E04"/>
    <w:rsid w:val="00893739"/>
    <w:rsid w:val="008D30FF"/>
    <w:rsid w:val="00900111"/>
    <w:rsid w:val="009459B2"/>
    <w:rsid w:val="00975A25"/>
    <w:rsid w:val="009B5D38"/>
    <w:rsid w:val="00A00DAE"/>
    <w:rsid w:val="00A02588"/>
    <w:rsid w:val="00A042D2"/>
    <w:rsid w:val="00A158DB"/>
    <w:rsid w:val="00A1727F"/>
    <w:rsid w:val="00A17D39"/>
    <w:rsid w:val="00A24A2D"/>
    <w:rsid w:val="00A61D6D"/>
    <w:rsid w:val="00A668C9"/>
    <w:rsid w:val="00AD417C"/>
    <w:rsid w:val="00AD607C"/>
    <w:rsid w:val="00B70A89"/>
    <w:rsid w:val="00BE094B"/>
    <w:rsid w:val="00BE6B6E"/>
    <w:rsid w:val="00BF28C2"/>
    <w:rsid w:val="00BF61B7"/>
    <w:rsid w:val="00C50EF0"/>
    <w:rsid w:val="00C54377"/>
    <w:rsid w:val="00C640ED"/>
    <w:rsid w:val="00C642C6"/>
    <w:rsid w:val="00C739FA"/>
    <w:rsid w:val="00C7616A"/>
    <w:rsid w:val="00CA1011"/>
    <w:rsid w:val="00CA10F5"/>
    <w:rsid w:val="00CB0F42"/>
    <w:rsid w:val="00CB1E83"/>
    <w:rsid w:val="00CB5D1E"/>
    <w:rsid w:val="00CD45E6"/>
    <w:rsid w:val="00D06585"/>
    <w:rsid w:val="00D16F33"/>
    <w:rsid w:val="00D23714"/>
    <w:rsid w:val="00D61EB1"/>
    <w:rsid w:val="00D876FC"/>
    <w:rsid w:val="00D87C3C"/>
    <w:rsid w:val="00DA67DB"/>
    <w:rsid w:val="00DC442A"/>
    <w:rsid w:val="00DE28A5"/>
    <w:rsid w:val="00DE3D8C"/>
    <w:rsid w:val="00DF78EC"/>
    <w:rsid w:val="00E137D6"/>
    <w:rsid w:val="00E1433F"/>
    <w:rsid w:val="00E37C16"/>
    <w:rsid w:val="00E65F49"/>
    <w:rsid w:val="00EB1853"/>
    <w:rsid w:val="00F07AD7"/>
    <w:rsid w:val="00F17EF2"/>
    <w:rsid w:val="00F37ED4"/>
    <w:rsid w:val="00F45245"/>
    <w:rsid w:val="00F628B0"/>
    <w:rsid w:val="00F752D2"/>
    <w:rsid w:val="00F86A37"/>
    <w:rsid w:val="00FA142C"/>
    <w:rsid w:val="00FF185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9655"/>
  <w15:chartTrackingRefBased/>
  <w15:docId w15:val="{8C1106F7-B1D5-4F7E-B5B9-732DD0F2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5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2CBF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24A2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A24A2D"/>
    <w:rPr>
      <w:rFonts w:ascii="Times New Roman" w:eastAsiaTheme="majorEastAsia" w:hAnsi="Times New Roman" w:cstheme="majorBidi"/>
      <w:spacing w:val="-10"/>
      <w:kern w:val="28"/>
      <w:sz w:val="28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F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45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E143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о умолчанию"/>
    <w:rsid w:val="000B4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9">
    <w:name w:val="annotation reference"/>
    <w:uiPriority w:val="99"/>
    <w:semiHidden/>
    <w:unhideWhenUsed/>
    <w:rsid w:val="00FF18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18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1854"/>
    <w:rPr>
      <w:rFonts w:ascii="Calibri" w:eastAsia="Calibri" w:hAnsi="Calibri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CB1E8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7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2279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7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2279"/>
    <w:rPr>
      <w:rFonts w:ascii="Calibri" w:eastAsia="Calibri" w:hAnsi="Calibri" w:cs="Times New Roman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1653C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1653C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18/08/relationships/commentsExtensible" Target="commentsExtensi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4;&#1073;&#1088;&#1072;&#1079;&#1086;&#1074;&#1072;&#1085;&#1080;&#1077;\&#1044;&#1080;&#1087;&#1083;&#1086;&#1084;\&#1075;&#1083;&#1072;&#1074;&#1072;%2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4;&#1073;&#1088;&#1072;&#1079;&#1086;&#1074;&#1072;&#1085;&#1080;&#1077;\&#1044;&#1080;&#1087;&#1083;&#1086;&#1084;\&#1075;&#1083;&#1072;&#1074;&#1072;%20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97572777251052"/>
          <c:y val="2.1803516615507806E-2"/>
          <c:w val="0.43858006792443294"/>
          <c:h val="0.9051365666670306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Лист4!$A$3:$A$20</c:f>
              <c:strCache>
                <c:ptCount val="18"/>
                <c:pt idx="0">
                  <c:v>  сельское, лесное хозяйство, охота, рыболовство и рыбоводство</c:v>
                </c:pt>
                <c:pt idx="1">
                  <c:v>  добыча полезных ископаемых</c:v>
                </c:pt>
                <c:pt idx="2">
                  <c:v>  обрабатывающие производства</c:v>
                </c:pt>
                <c:pt idx="3">
                  <c:v>обеспечение электрической энергией, газом и паром; кондиционирование воздуха</c:v>
                </c:pt>
                <c:pt idx="4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5">
                  <c:v>строительство</c:v>
                </c:pt>
                <c:pt idx="6">
                  <c:v>торговля оптовая и розничная; ремонт автотранспортных средств и мотоциклов</c:v>
                </c:pt>
                <c:pt idx="7">
                  <c:v>транспортировка и хранение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в области информации и связи</c:v>
                </c:pt>
                <c:pt idx="10">
                  <c:v>деятельность финансовая и страховая</c:v>
                </c:pt>
                <c:pt idx="11">
                  <c:v>деятельность по операциям с недвижимым имуществом</c:v>
                </c:pt>
                <c:pt idx="12">
                  <c:v>деятельность профессиональная,научная и техническая</c:v>
                </c:pt>
                <c:pt idx="13">
                  <c:v>деятельность административная и сопутствующие дополнительные услуги</c:v>
                </c:pt>
                <c:pt idx="14">
                  <c:v>государственное управление и обеспечение военной безопасности; социальное обеспечение</c:v>
                </c:pt>
                <c:pt idx="15">
                  <c:v>образование</c:v>
                </c:pt>
                <c:pt idx="16">
                  <c:v>деятельность в области здравоохранения и социальных услуг</c:v>
                </c:pt>
                <c:pt idx="17">
                  <c:v>деятельность в области культуры, спорта, организации досуга и развлечений</c:v>
                </c:pt>
              </c:strCache>
            </c:strRef>
          </c:cat>
          <c:val>
            <c:numRef>
              <c:f>Лист4!$B$3:$B$20</c:f>
              <c:numCache>
                <c:formatCode>0</c:formatCode>
                <c:ptCount val="18"/>
                <c:pt idx="0">
                  <c:v>31581.4</c:v>
                </c:pt>
                <c:pt idx="1">
                  <c:v>88909.7</c:v>
                </c:pt>
                <c:pt idx="2">
                  <c:v>43759.1</c:v>
                </c:pt>
                <c:pt idx="3">
                  <c:v>50025.599999999999</c:v>
                </c:pt>
                <c:pt idx="4">
                  <c:v>34001.800000000003</c:v>
                </c:pt>
                <c:pt idx="5">
                  <c:v>41878.199999999997</c:v>
                </c:pt>
                <c:pt idx="6">
                  <c:v>39456.9</c:v>
                </c:pt>
                <c:pt idx="7">
                  <c:v>50812.6</c:v>
                </c:pt>
                <c:pt idx="8">
                  <c:v>27947.200000000001</c:v>
                </c:pt>
                <c:pt idx="9">
                  <c:v>74371</c:v>
                </c:pt>
                <c:pt idx="10">
                  <c:v>102991.6</c:v>
                </c:pt>
                <c:pt idx="11">
                  <c:v>36439.300000000003</c:v>
                </c:pt>
                <c:pt idx="12">
                  <c:v>72939.5</c:v>
                </c:pt>
                <c:pt idx="13">
                  <c:v>34480.199999999997</c:v>
                </c:pt>
                <c:pt idx="14">
                  <c:v>50988</c:v>
                </c:pt>
                <c:pt idx="15">
                  <c:v>37023.300000000003</c:v>
                </c:pt>
                <c:pt idx="16">
                  <c:v>43108.9</c:v>
                </c:pt>
                <c:pt idx="17">
                  <c:v>47273.7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D5-4DB9-B80D-20DB512528B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81623640"/>
        <c:axId val="581623968"/>
      </c:barChart>
      <c:catAx>
        <c:axId val="581623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623968"/>
        <c:crosses val="autoZero"/>
        <c:auto val="1"/>
        <c:lblAlgn val="ctr"/>
        <c:lblOffset val="100"/>
        <c:noMultiLvlLbl val="0"/>
      </c:catAx>
      <c:valAx>
        <c:axId val="58162396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623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81714785651794"/>
          <c:y val="9.6644065325167672E-2"/>
          <c:w val="0.84448600174978117"/>
          <c:h val="0.727499270924467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Лист2!$O$6</c:f>
              <c:strCache>
                <c:ptCount val="1"/>
                <c:pt idx="0">
                  <c:v>Номинальная заработная плата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43E6-499D-A226-5E27241D36F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Лист2!$Q$5:$S$5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Лист2!$S$6</c:f>
              <c:numCache>
                <c:formatCode>0.00</c:formatCode>
                <c:ptCount val="1"/>
                <c:pt idx="0">
                  <c:v>8.562116915195304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E6-499D-A226-5E27241D36FB}"/>
            </c:ext>
          </c:extLst>
        </c:ser>
        <c:ser>
          <c:idx val="1"/>
          <c:order val="1"/>
          <c:tx>
            <c:strRef>
              <c:f>Лист2!$O$7</c:f>
              <c:strCache>
                <c:ptCount val="1"/>
                <c:pt idx="0">
                  <c:v>Реальная заработная плата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185067526415994E-16"/>
                  <c:y val="-1.76912870411322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E6-499D-A226-5E27241D36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Лист2!$Q$5:$S$5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Лист2!$S$7</c:f>
              <c:numCache>
                <c:formatCode>0.00</c:formatCode>
                <c:ptCount val="1"/>
                <c:pt idx="0">
                  <c:v>9.8474991224598512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E6-499D-A226-5E27241D36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6"/>
        <c:overlap val="-100"/>
        <c:axId val="231125224"/>
        <c:axId val="231130144"/>
      </c:barChart>
      <c:catAx>
        <c:axId val="2311252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31130144"/>
        <c:crosses val="autoZero"/>
        <c:auto val="1"/>
        <c:lblAlgn val="ctr"/>
        <c:lblOffset val="100"/>
        <c:noMultiLvlLbl val="0"/>
      </c:catAx>
      <c:valAx>
        <c:axId val="23113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Темп прироста,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12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D127-73A8-440D-B78F-2794B7D8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12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Анастасия Дмитриевна</dc:creator>
  <cp:keywords/>
  <dc:description/>
  <cp:lastModifiedBy>Крючкова Анастасия Дмитриевна</cp:lastModifiedBy>
  <cp:revision>92</cp:revision>
  <dcterms:created xsi:type="dcterms:W3CDTF">2020-05-23T13:50:00Z</dcterms:created>
  <dcterms:modified xsi:type="dcterms:W3CDTF">2020-05-25T12:28:00Z</dcterms:modified>
</cp:coreProperties>
</file>