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fontTable.xml" ContentType="application/vnd.openxmlformats-officedocument.wordprocessingml.fontTable+xml"/>
  <Override PartName="/word/footer2.xml" ContentType="application/vnd.openxmlformats-officedocument.wordprocessingml.footer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9.jpeg" ContentType="image/jpeg"/>
  <Override PartName="/word/media/image8.jpeg" ContentType="image/jpeg"/>
  <Override PartName="/word/media/image7.jpeg" ContentType="image/jpeg"/>
  <Override PartName="/word/media/image6.jpeg" ContentType="image/jpeg"/>
  <Override PartName="/word/media/image5.jpeg" ContentType="image/jpeg"/>
  <Override PartName="/word/media/image4.jpeg" ContentType="image/jpeg"/>
  <Override PartName="/word/media/image3.jpeg" ContentType="image/jpeg"/>
  <Override PartName="/word/media/image2.jpeg" ContentType="image/jpeg"/>
  <Override PartName="/word/media/image1.jpeg" ContentType="image/jpeg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sz w:val="32"/>
          <w:szCs w:val="32"/>
        </w:rPr>
        <w:t>ГБОУ «Школа №1621 Древо Жизни»</w:t>
      </w:r>
    </w:p>
    <w:p>
      <w:pPr>
        <w:pStyle w:val="Normal"/>
        <w:jc w:val="both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</w:r>
    </w:p>
    <w:p>
      <w:pPr>
        <w:pStyle w:val="Normal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  <w:t>Проект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  <w:t>«Экскурсия «Гренадерский маршрут»»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</w:r>
    </w:p>
    <w:p>
      <w:pPr>
        <w:pStyle w:val="Normal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240" w:before="0" w:after="0"/>
        <w:rPr/>
      </w:pPr>
      <w:r>
        <w:rPr>
          <w:rFonts w:eastAsia="Times New Roman" w:cs="Times New Roman" w:ascii="Times New Roman" w:hAnsi="Times New Roman"/>
        </w:rPr>
        <w:t xml:space="preserve">                                </w:t>
      </w:r>
      <w:r>
        <w:rPr>
          <w:rFonts w:cs="Times New Roman" w:ascii="Times New Roman" w:hAnsi="Times New Roman"/>
        </w:rPr>
        <w:tab/>
        <w:tab/>
        <w:tab/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Выполнили: ученицы 7 «А» класса                                                        </w:t>
        <w:tab/>
        <w:tab/>
        <w:tab/>
        <w:t xml:space="preserve">                     ГБОУ «Школа №1621 Древо Жизни» </w:t>
      </w:r>
    </w:p>
    <w:p>
      <w:pPr>
        <w:pStyle w:val="Normal"/>
        <w:spacing w:lineRule="auto" w:line="240" w:before="0" w:after="0"/>
        <w:rPr/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                                 </w:t>
      </w:r>
      <w:r>
        <w:rPr>
          <w:rFonts w:cs="Times New Roman" w:ascii="Times New Roman" w:hAnsi="Times New Roman"/>
          <w:sz w:val="28"/>
          <w:szCs w:val="28"/>
        </w:rPr>
        <w:t>Ткачева</w:t>
      </w:r>
      <w:r>
        <w:rPr>
          <w:rFonts w:cs="Times New Roman" w:ascii="Times New Roman" w:hAnsi="Times New Roman"/>
          <w:b/>
          <w:bCs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Валерия и Либес София</w:t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center"/>
        <w:rPr/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                              </w:t>
      </w:r>
      <w:r>
        <w:rPr>
          <w:rFonts w:cs="Times New Roman" w:ascii="Times New Roman" w:hAnsi="Times New Roman"/>
          <w:sz w:val="28"/>
          <w:szCs w:val="28"/>
        </w:rPr>
        <w:t>Руководитель: Ворожцова Светлана Петровна</w:t>
      </w:r>
    </w:p>
    <w:p>
      <w:pPr>
        <w:pStyle w:val="Normal"/>
        <w:jc w:val="cente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  <w:t xml:space="preserve">                                               </w:t>
      </w:r>
    </w:p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widowControl w:val="false"/>
        <w:autoSpaceDE w:val="false"/>
        <w:spacing w:lineRule="atLeast" w:line="216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widowControl w:val="false"/>
        <w:autoSpaceDE w:val="false"/>
        <w:spacing w:lineRule="atLeast" w:line="216"/>
        <w:jc w:val="center"/>
        <w:rPr>
          <w:rFonts w:ascii="Times New Roman" w:hAnsi="Times New Roman" w:cs="Times New Roman"/>
          <w:b/>
          <w:b/>
          <w:sz w:val="36"/>
          <w:szCs w:val="36"/>
        </w:rPr>
      </w:pPr>
      <w:r>
        <w:rPr>
          <w:rFonts w:cs="Times New Roman" w:ascii="Times New Roman" w:hAnsi="Times New Roman"/>
          <w:b/>
          <w:sz w:val="36"/>
          <w:szCs w:val="36"/>
        </w:rPr>
        <w:t>Москва 2019</w:t>
      </w:r>
    </w:p>
    <w:p>
      <w:pPr>
        <w:pStyle w:val="Normal"/>
        <w:spacing w:lineRule="auto" w:line="360" w:before="0" w:after="0"/>
        <w:jc w:val="center"/>
        <w:rPr/>
      </w:pPr>
      <w:r>
        <w:rPr>
          <w:rFonts w:cs="Times New Roman" w:ascii="Times New Roman" w:hAnsi="Times New Roman"/>
          <w:bCs/>
          <w:iCs/>
          <w:sz w:val="28"/>
          <w:szCs w:val="28"/>
        </w:rPr>
        <w:t>Экскурсия «Гренадерский маршрут».</w:t>
      </w:r>
    </w:p>
    <w:p>
      <w:pPr>
        <w:pStyle w:val="Style17"/>
        <w:spacing w:lineRule="auto" w:line="360" w:before="280" w:after="0"/>
        <w:rPr>
          <w:sz w:val="28"/>
          <w:szCs w:val="28"/>
        </w:rPr>
      </w:pPr>
      <w:r>
        <w:rPr>
          <w:b/>
          <w:bCs/>
          <w:sz w:val="28"/>
          <w:szCs w:val="28"/>
        </w:rPr>
        <w:t>Цель:</w:t>
      </w:r>
      <w:r>
        <w:rPr>
          <w:sz w:val="28"/>
          <w:szCs w:val="28"/>
        </w:rPr>
        <w:t xml:space="preserve"> Разработка и  составление экскурсии, посвященной памятным местам Отечественной войны 1812 года в западном административном округе Москвы  и великим русским полководцам того времени.</w:t>
      </w:r>
    </w:p>
    <w:p>
      <w:pPr>
        <w:pStyle w:val="Style17"/>
        <w:spacing w:lineRule="auto" w:line="360" w:before="280" w:after="0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Задачи:</w:t>
      </w:r>
    </w:p>
    <w:p>
      <w:pPr>
        <w:pStyle w:val="Style17"/>
        <w:numPr>
          <w:ilvl w:val="0"/>
          <w:numId w:val="3"/>
        </w:numPr>
        <w:spacing w:lineRule="auto" w:line="360" w:before="280" w:after="0"/>
        <w:rPr>
          <w:sz w:val="28"/>
          <w:szCs w:val="28"/>
        </w:rPr>
      </w:pPr>
      <w:r>
        <w:rPr>
          <w:sz w:val="28"/>
          <w:szCs w:val="28"/>
        </w:rPr>
        <w:t>Пройти путь по маршруту, показанному на карте,  представляя гренадёров - участников основных битв в Отечественной войне 1812 года.</w:t>
      </w:r>
    </w:p>
    <w:p>
      <w:pPr>
        <w:pStyle w:val="Style17"/>
        <w:numPr>
          <w:ilvl w:val="0"/>
          <w:numId w:val="3"/>
        </w:numPr>
        <w:spacing w:lineRule="auto" w:line="360" w:before="0" w:after="280"/>
        <w:rPr>
          <w:sz w:val="28"/>
          <w:szCs w:val="28"/>
        </w:rPr>
      </w:pPr>
      <w:r>
        <w:rPr>
          <w:sz w:val="28"/>
          <w:szCs w:val="28"/>
        </w:rPr>
        <w:t>Отразить  историю названий улиц в Москве.</w:t>
      </w:r>
    </w:p>
    <w:p>
      <w:pPr>
        <w:pStyle w:val="Style17"/>
        <w:numPr>
          <w:ilvl w:val="0"/>
          <w:numId w:val="3"/>
        </w:numPr>
        <w:spacing w:lineRule="auto" w:line="360" w:before="0" w:after="280"/>
        <w:rPr>
          <w:sz w:val="28"/>
          <w:szCs w:val="28"/>
        </w:rPr>
      </w:pPr>
      <w:r>
        <w:rPr>
          <w:sz w:val="28"/>
          <w:szCs w:val="28"/>
        </w:rPr>
        <w:t>Изучить и представить знаменитые памятники архитектуры района, связанные с войной 1812 года.</w:t>
      </w:r>
    </w:p>
    <w:p>
      <w:pPr>
        <w:pStyle w:val="Style17"/>
        <w:numPr>
          <w:ilvl w:val="0"/>
          <w:numId w:val="3"/>
        </w:numPr>
        <w:spacing w:lineRule="auto" w:line="360" w:before="0" w:after="280"/>
        <w:rPr/>
      </w:pPr>
      <w:r>
        <w:rPr>
          <w:sz w:val="28"/>
          <w:szCs w:val="28"/>
        </w:rPr>
        <w:t>Показать роль:  как великих полководцев, так и простых солдат – пехотинцев в Отечественной войне 1812года.</w:t>
      </w:r>
    </w:p>
    <w:p>
      <w:pPr>
        <w:pStyle w:val="Style17"/>
        <w:numPr>
          <w:ilvl w:val="0"/>
          <w:numId w:val="3"/>
        </w:numPr>
        <w:spacing w:lineRule="auto" w:line="360" w:before="0" w:after="280"/>
        <w:rPr>
          <w:sz w:val="28"/>
          <w:szCs w:val="28"/>
        </w:rPr>
      </w:pPr>
      <w:r>
        <w:rPr>
          <w:sz w:val="28"/>
          <w:szCs w:val="28"/>
        </w:rPr>
        <w:t xml:space="preserve">Познакомить с историей  района  жителей Москвы </w:t>
      </w:r>
    </w:p>
    <w:p>
      <w:pPr>
        <w:pStyle w:val="Style17"/>
        <w:spacing w:lineRule="auto" w:line="360" w:before="280" w:after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rPr/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</w:t>
      </w:r>
      <w:r>
        <w:rPr>
          <w:rFonts w:cs="Times New Roman" w:ascii="Times New Roman" w:hAnsi="Times New Roman"/>
          <w:sz w:val="28"/>
          <w:szCs w:val="28"/>
        </w:rPr>
        <w:t>В настоящее время обращение к славному прошлому нашей страны, на мой взгляд, особенно актуально, ведь именно в  период Отечественной войны 1812 года произошел подлинный подъем национального самосознания.</w:t>
      </w:r>
    </w:p>
    <w:p>
      <w:pPr>
        <w:pStyle w:val="Normal"/>
        <w:spacing w:lineRule="auto" w:line="360" w:before="0" w:after="0"/>
        <w:rPr/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Поэтому я предлагаю вашему вниманию экскурсию по местам Отечественной войны 1812 года.</w:t>
      </w:r>
    </w:p>
    <w:p>
      <w:pPr>
        <w:pStyle w:val="Normal"/>
        <w:spacing w:lineRule="auto" w:line="360" w:before="0" w:after="0"/>
        <w:rPr/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</w:t>
      </w:r>
      <w:r>
        <w:rPr>
          <w:rFonts w:cs="Times New Roman" w:ascii="Times New Roman" w:hAnsi="Times New Roman"/>
          <w:sz w:val="28"/>
          <w:szCs w:val="28"/>
        </w:rPr>
        <w:t>Мы начинаем наш маршрут по району Фили-Давыдково в городе Москве с Кутузовского проспекта.</w:t>
      </w:r>
    </w:p>
    <w:p>
      <w:pPr>
        <w:pStyle w:val="Normal"/>
        <w:spacing w:lineRule="auto" w:line="360" w:before="0" w:after="0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</w:t>
      </w:r>
      <w:r>
        <w:rPr>
          <w:rFonts w:cs="Times New Roman" w:ascii="Times New Roman" w:hAnsi="Times New Roman"/>
          <w:sz w:val="28"/>
          <w:szCs w:val="28"/>
        </w:rPr>
        <w:t xml:space="preserve">Первая точка нашей экскурсии – это памятник великому полководцу Кутузову Михаилу Илларионовичу, который в 1812 году руководил тяжёлой пехотой (гренадёрами). Гренадеры - тяжелая пехота, предназначенная в начале XVIII века для метания гранат (отсюда ее название), а к 1812 году гренадеры по вооружению и способам боевых действий не отличались от остальной пехоты. </w:t>
      </w:r>
      <w:r>
        <w:rPr>
          <w:rFonts w:cs="Times New Roman" w:ascii="Times New Roman" w:hAnsi="Times New Roman"/>
          <w:color w:val="000000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Памятник находится около Панорамы  «Бородинская битва». В честь этого великого полководца были названы: Кутузовский проспект, Кутузовский проезд, метро Кутузовская и улица Кутузова.</w:t>
      </w:r>
    </w:p>
    <w:p>
      <w:pPr>
        <w:pStyle w:val="Style17"/>
        <w:spacing w:lineRule="auto" w:line="360" w:before="280" w:after="0"/>
        <w:ind w:firstLine="708"/>
        <w:jc w:val="both"/>
        <w:rPr/>
      </w:pPr>
      <w:r>
        <w:rPr>
          <w:sz w:val="28"/>
          <w:szCs w:val="28"/>
        </w:rPr>
        <w:t xml:space="preserve">Кутузов Михаил Илларионович -  великий русский полководец, генерал-фельдмаршал;  8 августа 1812 г. был назначен Главнокомандующим русскими армиями. Благодаря мудрой и гибкой стратегии Кутузова русская армия одержала блестящую победу над сильным и опытным соперником. За изгнание наполеоновской армии из России Кутузов был награжден орденом Святого Георгия I степени. 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bCs/>
          <w:iCs/>
          <w:sz w:val="28"/>
          <w:szCs w:val="28"/>
        </w:rPr>
        <w:t xml:space="preserve">   </w:t>
      </w:r>
      <w:r>
        <w:rPr>
          <w:rFonts w:cs="Times New Roman" w:ascii="Times New Roman" w:hAnsi="Times New Roman"/>
          <w:bCs/>
          <w:iCs/>
          <w:sz w:val="28"/>
          <w:szCs w:val="28"/>
        </w:rPr>
        <w:t xml:space="preserve">Ранним утром 1 сентября русская армия расположилась у подмосковной деревни Фили на позиции, выбранной начальником штаба русской армии Беннигсеном для генерального сражения. Местность оказалась чрезвычайно неблагоприятной.  «В случае неудачи вся армия была бы уничтожена до последнего человека», — писал впоследствии Барклай де Толли. Вечером того же дня в избе крестьянина Фролова в Филях собрался военный совет во главе с Кутузовым, на котором было принято решение не давать сражения и отступить, пройдя Москву, по Рязанской дороге. </w:t>
      </w:r>
    </w:p>
    <w:p>
      <w:pPr>
        <w:pStyle w:val="Normal"/>
        <w:tabs>
          <w:tab w:val="clear" w:pos="708"/>
          <w:tab w:val="left" w:pos="1695" w:leader="none"/>
        </w:tabs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Давайте пройдем за музей-панораму «Бородинская битва», где стоит домик филевского крестьянина А. Фролова, где собрался Военный совет, на котором решался вопрос: ожидать ли неприятеля на позиции, чтобы дать ему сражение или сдать ему Москву без сражения?</w:t>
      </w:r>
    </w:p>
    <w:p>
      <w:pPr>
        <w:pStyle w:val="Normal"/>
        <w:tabs>
          <w:tab w:val="clear" w:pos="708"/>
          <w:tab w:val="left" w:pos="1695" w:leader="none"/>
        </w:tabs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</w:t>
      </w:r>
      <w:r>
        <w:rPr>
          <w:rFonts w:cs="Times New Roman" w:ascii="Times New Roman" w:hAnsi="Times New Roman"/>
          <w:sz w:val="28"/>
          <w:szCs w:val="28"/>
        </w:rPr>
        <w:t>Выслушав всех присутствующих, главнокомандующий русской армией</w:t>
      </w:r>
    </w:p>
    <w:p>
      <w:pPr>
        <w:pStyle w:val="Normal"/>
        <w:tabs>
          <w:tab w:val="clear" w:pos="708"/>
          <w:tab w:val="left" w:pos="1695" w:leader="none"/>
        </w:tabs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М.И. Кутузов встал и сказал слова, ставшие историческими: «С потерею Москвы не потеряна еще Россия. …. Поэтому я намерен, пройдя Москву, отступить по Рязанской дороге. Знаю, ответственность падет на меня, но жертвую собою для спасения Отечества. Приказываю отступать!»</w:t>
      </w:r>
    </w:p>
    <w:p>
      <w:pPr>
        <w:pStyle w:val="Normal"/>
        <w:tabs>
          <w:tab w:val="clear" w:pos="708"/>
          <w:tab w:val="left" w:pos="1695" w:leader="none"/>
        </w:tabs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Cs/>
          <w:iCs/>
          <w:sz w:val="28"/>
          <w:szCs w:val="28"/>
        </w:rPr>
        <w:t>С потерей Москвы оказывалась непотерянной Россия.</w:t>
      </w:r>
    </w:p>
    <w:p>
      <w:pPr>
        <w:pStyle w:val="Style17"/>
        <w:spacing w:lineRule="auto" w:line="360" w:before="280" w:after="0"/>
        <w:rPr/>
      </w:pP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>А теперь вернемся обратно и пройдем в музей – панораму «Бородинская битва».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</w:t>
      </w:r>
      <w:r>
        <w:rPr>
          <w:rFonts w:cs="Times New Roman" w:ascii="Times New Roman" w:hAnsi="Times New Roman"/>
          <w:sz w:val="28"/>
          <w:szCs w:val="28"/>
        </w:rPr>
        <w:t xml:space="preserve">К столетию </w:t>
      </w:r>
      <w:hyperlink r:id="rId2">
        <w:r>
          <w:rPr>
            <w:rStyle w:val="InternetLink"/>
            <w:rFonts w:cs="Times New Roman" w:ascii="Times New Roman" w:hAnsi="Times New Roman"/>
            <w:color w:val="000000"/>
            <w:sz w:val="28"/>
            <w:szCs w:val="28"/>
            <w:u w:val="none"/>
          </w:rPr>
          <w:t>Отечественной войны 1812 года</w:t>
        </w:r>
      </w:hyperlink>
      <w:r>
        <w:rPr>
          <w:rFonts w:cs="Times New Roman" w:ascii="Times New Roman" w:hAnsi="Times New Roman"/>
          <w:sz w:val="28"/>
          <w:szCs w:val="28"/>
        </w:rPr>
        <w:t xml:space="preserve"> по заказу императора </w:t>
      </w:r>
      <w:hyperlink r:id="rId3">
        <w:r>
          <w:rPr>
            <w:rStyle w:val="InternetLink"/>
            <w:rFonts w:cs="Times New Roman" w:ascii="Times New Roman" w:hAnsi="Times New Roman"/>
            <w:color w:val="000000"/>
            <w:sz w:val="28"/>
            <w:szCs w:val="28"/>
            <w:u w:val="none"/>
          </w:rPr>
          <w:t>Российской империи</w:t>
        </w:r>
      </w:hyperlink>
      <w:r>
        <w:rPr>
          <w:rFonts w:cs="Times New Roman" w:ascii="Times New Roman" w:hAnsi="Times New Roman"/>
          <w:sz w:val="28"/>
          <w:szCs w:val="28"/>
        </w:rPr>
        <w:t xml:space="preserve"> </w:t>
      </w:r>
      <w:hyperlink r:id="rId4">
        <w:r>
          <w:rPr>
            <w:rStyle w:val="InternetLink"/>
            <w:rFonts w:cs="Times New Roman" w:ascii="Times New Roman" w:hAnsi="Times New Roman"/>
            <w:color w:val="000000"/>
            <w:sz w:val="28"/>
            <w:szCs w:val="28"/>
            <w:u w:val="none"/>
          </w:rPr>
          <w:t>Николая II</w:t>
        </w:r>
      </w:hyperlink>
      <w:r>
        <w:rPr>
          <w:rFonts w:cs="Times New Roman" w:ascii="Times New Roman" w:hAnsi="Times New Roman"/>
          <w:sz w:val="28"/>
          <w:szCs w:val="28"/>
        </w:rPr>
        <w:t xml:space="preserve">, художник Франц Рубо написал панораму «Бородинская битва». Первоначально панорама была открыта  в </w:t>
      </w:r>
      <w:hyperlink r:id="rId5">
        <w:r>
          <w:rPr>
            <w:rStyle w:val="InternetLink"/>
            <w:rFonts w:cs="Times New Roman" w:ascii="Times New Roman" w:hAnsi="Times New Roman"/>
            <w:color w:val="000000"/>
            <w:sz w:val="28"/>
            <w:szCs w:val="28"/>
            <w:u w:val="none"/>
          </w:rPr>
          <w:t>1912 году</w:t>
        </w:r>
      </w:hyperlink>
      <w:r>
        <w:rPr>
          <w:rFonts w:cs="Times New Roman" w:ascii="Times New Roman" w:hAnsi="Times New Roman"/>
          <w:sz w:val="28"/>
          <w:szCs w:val="28"/>
        </w:rPr>
        <w:t xml:space="preserve"> в </w:t>
      </w:r>
      <w:hyperlink r:id="rId6">
        <w:r>
          <w:rPr>
            <w:rStyle w:val="InternetLink"/>
            <w:rFonts w:cs="Times New Roman" w:ascii="Times New Roman" w:hAnsi="Times New Roman"/>
            <w:color w:val="000000"/>
            <w:sz w:val="28"/>
            <w:szCs w:val="28"/>
            <w:u w:val="none"/>
          </w:rPr>
          <w:t>павильоне</w:t>
        </w:r>
      </w:hyperlink>
      <w:r>
        <w:rPr>
          <w:rFonts w:cs="Times New Roman" w:ascii="Times New Roman" w:hAnsi="Times New Roman"/>
          <w:sz w:val="28"/>
          <w:szCs w:val="28"/>
        </w:rPr>
        <w:t xml:space="preserve"> на </w:t>
      </w:r>
      <w:hyperlink r:id="rId7">
        <w:r>
          <w:rPr>
            <w:rStyle w:val="InternetLink"/>
            <w:rFonts w:cs="Times New Roman" w:ascii="Times New Roman" w:hAnsi="Times New Roman"/>
            <w:color w:val="000000"/>
            <w:sz w:val="28"/>
            <w:szCs w:val="28"/>
            <w:u w:val="none"/>
          </w:rPr>
          <w:t>Чистых прудах</w:t>
        </w:r>
      </w:hyperlink>
      <w:r>
        <w:rPr>
          <w:rFonts w:cs="Times New Roman" w:ascii="Times New Roman" w:hAnsi="Times New Roman"/>
          <w:sz w:val="28"/>
          <w:szCs w:val="28"/>
        </w:rPr>
        <w:t xml:space="preserve"> в Москве, в </w:t>
      </w:r>
      <w:hyperlink r:id="rId8">
        <w:r>
          <w:rPr>
            <w:rStyle w:val="InternetLink"/>
            <w:rFonts w:cs="Times New Roman" w:ascii="Times New Roman" w:hAnsi="Times New Roman"/>
            <w:color w:val="000000"/>
            <w:sz w:val="28"/>
            <w:szCs w:val="28"/>
            <w:u w:val="none"/>
          </w:rPr>
          <w:t>1918 году</w:t>
        </w:r>
      </w:hyperlink>
      <w:r>
        <w:rPr>
          <w:rFonts w:cs="Times New Roman" w:ascii="Times New Roman" w:hAnsi="Times New Roman"/>
          <w:sz w:val="28"/>
          <w:szCs w:val="28"/>
        </w:rPr>
        <w:t xml:space="preserve"> панорама была демонтирована и после реставрации вновь открыта к 150-летию битвы 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в </w:t>
      </w:r>
      <w:hyperlink r:id="rId9">
        <w:r>
          <w:rPr>
            <w:rStyle w:val="InternetLink"/>
            <w:rFonts w:cs="Times New Roman" w:ascii="Times New Roman" w:hAnsi="Times New Roman"/>
            <w:color w:val="000000"/>
            <w:sz w:val="28"/>
            <w:szCs w:val="28"/>
            <w:u w:val="none"/>
          </w:rPr>
          <w:t>1962 году</w:t>
        </w:r>
      </w:hyperlink>
      <w:r>
        <w:rPr>
          <w:rFonts w:cs="Times New Roman" w:ascii="Times New Roman" w:hAnsi="Times New Roman"/>
          <w:sz w:val="28"/>
          <w:szCs w:val="28"/>
        </w:rPr>
        <w:t xml:space="preserve"> в здании музея-панорамы на </w:t>
      </w:r>
      <w:hyperlink r:id="rId10">
        <w:r>
          <w:rPr>
            <w:rStyle w:val="InternetLink"/>
            <w:rFonts w:cs="Times New Roman" w:ascii="Times New Roman" w:hAnsi="Times New Roman"/>
            <w:color w:val="000000"/>
            <w:sz w:val="28"/>
            <w:szCs w:val="28"/>
            <w:u w:val="none"/>
          </w:rPr>
          <w:t>Кутузовском проспекте</w:t>
        </w:r>
      </w:hyperlink>
      <w:r>
        <w:rPr>
          <w:rFonts w:cs="Times New Roman" w:ascii="Times New Roman" w:hAnsi="Times New Roman"/>
          <w:sz w:val="28"/>
          <w:szCs w:val="28"/>
        </w:rPr>
        <w:t xml:space="preserve">. 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К 200-летию войны панорама была вновь отреставрирована.</w:t>
      </w:r>
    </w:p>
    <w:p>
      <w:pPr>
        <w:pStyle w:val="Normal"/>
        <w:tabs>
          <w:tab w:val="clear" w:pos="708"/>
          <w:tab w:val="left" w:pos="1695" w:leader="none"/>
        </w:tabs>
        <w:spacing w:lineRule="auto" w:line="360" w:before="0" w:after="0"/>
        <w:rPr/>
      </w:pPr>
      <w:r>
        <w:rPr>
          <w:rFonts w:cs="Times New Roman" w:ascii="Times New Roman" w:hAnsi="Times New Roman"/>
          <w:sz w:val="28"/>
          <w:szCs w:val="28"/>
        </w:rPr>
        <w:t>Под Бородином утром 26 августа началось сражение. Перед русскими войсками была поставлена задача - подорвать военную мощь и боевой дух противника, измотать его. Обе стороны проявили героизм и огромные усилия к достижению победы.</w:t>
      </w:r>
    </w:p>
    <w:p>
      <w:pPr>
        <w:pStyle w:val="Normal"/>
        <w:tabs>
          <w:tab w:val="clear" w:pos="708"/>
          <w:tab w:val="left" w:pos="1695" w:leader="none"/>
        </w:tabs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</w:t>
      </w:r>
      <w:r>
        <w:rPr>
          <w:rFonts w:cs="Times New Roman" w:ascii="Times New Roman" w:hAnsi="Times New Roman"/>
          <w:sz w:val="28"/>
          <w:szCs w:val="28"/>
        </w:rPr>
        <w:t>В Бородинском сражении, ставшем поворотным в Отечественной войне 1812г., были сломлены силы наполеоновской армии.</w:t>
      </w:r>
    </w:p>
    <w:p>
      <w:pPr>
        <w:pStyle w:val="Normal"/>
        <w:tabs>
          <w:tab w:val="clear" w:pos="708"/>
          <w:tab w:val="left" w:pos="1695" w:leader="none"/>
        </w:tabs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«Баталию я выиграл до Москвы», – так оценил значение Бородинского сражения М.И. Кутузов. Здесь было положено начало концу войны на территории России и начало освобождения Европы от наполеоновского владычества.</w:t>
      </w:r>
    </w:p>
    <w:p>
      <w:pPr>
        <w:pStyle w:val="Normal"/>
        <w:tabs>
          <w:tab w:val="clear" w:pos="708"/>
          <w:tab w:val="left" w:pos="1695" w:leader="none"/>
        </w:tabs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tabs>
          <w:tab w:val="clear" w:pos="708"/>
          <w:tab w:val="left" w:pos="1695" w:leader="none"/>
        </w:tabs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Выйдя из панорамы, мы двигаемся по улице 1812 года...</w:t>
      </w:r>
      <w:r>
        <w:rPr>
          <w:rFonts w:cs="Times New Roman" w:ascii="Times New Roman" w:hAnsi="Times New Roman"/>
          <w:color w:val="000000"/>
          <w:kern w:val="2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… и попадаем на Багратионовский проезд, названный в честь генерала Петра Багратиона. </w:t>
      </w:r>
    </w:p>
    <w:p>
      <w:pPr>
        <w:pStyle w:val="Normal"/>
        <w:tabs>
          <w:tab w:val="clear" w:pos="708"/>
          <w:tab w:val="left" w:pos="1695" w:leader="none"/>
        </w:tabs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 нем говорили: «Лев русской армии!»</w:t>
      </w:r>
    </w:p>
    <w:p>
      <w:pPr>
        <w:pStyle w:val="Normal"/>
        <w:tabs>
          <w:tab w:val="clear" w:pos="708"/>
          <w:tab w:val="left" w:pos="1695" w:leader="none"/>
        </w:tabs>
        <w:spacing w:lineRule="auto" w:line="360" w:before="0" w:after="0"/>
        <w:rPr>
          <w:rFonts w:ascii="Times New Roman" w:hAnsi="Times New Roman" w:cs="Times New Roman"/>
          <w:color w:val="0D0D0D"/>
          <w:sz w:val="28"/>
          <w:szCs w:val="28"/>
        </w:rPr>
      </w:pPr>
      <w:r>
        <w:rPr>
          <w:rFonts w:cs="Times New Roman" w:ascii="Times New Roman" w:hAnsi="Times New Roman"/>
          <w:color w:val="0D0D0D"/>
          <w:sz w:val="28"/>
          <w:szCs w:val="28"/>
        </w:rPr>
        <w:t xml:space="preserve">Петр Багратион - русский генерал, герой Отечественной войны 1812. Родился в  городе Кизляре в семье полковника из старинного грузинского княжеского рода. </w:t>
      </w:r>
    </w:p>
    <w:p>
      <w:pPr>
        <w:pStyle w:val="Normal"/>
        <w:tabs>
          <w:tab w:val="clear" w:pos="708"/>
          <w:tab w:val="left" w:pos="1695" w:leader="none"/>
        </w:tabs>
        <w:spacing w:lineRule="auto" w:line="360" w:before="0" w:after="0"/>
        <w:rPr>
          <w:rFonts w:ascii="Times New Roman" w:hAnsi="Times New Roman" w:cs="Times New Roman"/>
          <w:color w:val="0D0D0D"/>
          <w:sz w:val="28"/>
          <w:szCs w:val="28"/>
        </w:rPr>
      </w:pPr>
      <w:r>
        <w:rPr>
          <w:rFonts w:eastAsia="Times New Roman" w:cs="Times New Roman" w:ascii="Times New Roman" w:hAnsi="Times New Roman"/>
          <w:color w:val="0D0D0D"/>
          <w:sz w:val="28"/>
          <w:szCs w:val="28"/>
        </w:rPr>
        <w:t xml:space="preserve">  </w:t>
      </w:r>
      <w:r>
        <w:rPr>
          <w:rFonts w:cs="Times New Roman" w:ascii="Times New Roman" w:hAnsi="Times New Roman"/>
          <w:color w:val="0D0D0D"/>
          <w:sz w:val="28"/>
          <w:szCs w:val="28"/>
        </w:rPr>
        <w:t xml:space="preserve">В Бородинском сражении командовал левым крылом русской армии, проявив исключительную стойкость и личную храбрость, был тяжело ранен и скончался в с. Симы Владимирской губернии, где и был похоронен. В 1839 его прах перенесён на Бородинское поле. </w:t>
      </w:r>
    </w:p>
    <w:p>
      <w:pPr>
        <w:pStyle w:val="Normal"/>
        <w:tabs>
          <w:tab w:val="clear" w:pos="708"/>
          <w:tab w:val="left" w:pos="1695" w:leader="none"/>
        </w:tabs>
        <w:spacing w:lineRule="auto" w:line="360" w:before="0" w:after="0"/>
        <w:rPr>
          <w:rFonts w:ascii="Times New Roman" w:hAnsi="Times New Roman" w:cs="Times New Roman"/>
          <w:color w:val="0D0D0D"/>
          <w:sz w:val="28"/>
          <w:szCs w:val="28"/>
        </w:rPr>
      </w:pPr>
      <w:r>
        <w:rPr>
          <w:rFonts w:cs="Times New Roman" w:ascii="Times New Roman" w:hAnsi="Times New Roman"/>
          <w:color w:val="0D0D0D"/>
          <w:sz w:val="28"/>
          <w:szCs w:val="28"/>
        </w:rPr>
        <w:t>В переломные моменты боя генерал Петр Иванович Багратион, подчас спешившись, шел в атаку или к боевому рубежу…</w:t>
      </w:r>
    </w:p>
    <w:p>
      <w:pPr>
        <w:pStyle w:val="Normal"/>
        <w:tabs>
          <w:tab w:val="clear" w:pos="708"/>
          <w:tab w:val="left" w:pos="1695" w:leader="none"/>
        </w:tabs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color w:val="0D0D0D"/>
          <w:sz w:val="28"/>
          <w:szCs w:val="28"/>
        </w:rPr>
        <w:t>За всю военную карьеру Багратион не потерпел ни одного поражения.</w:t>
      </w:r>
      <w:r>
        <w:rPr>
          <w:rFonts w:eastAsia="Times New Roman" w:cs="Times New Roman" w:ascii="Times New Roman" w:hAnsi="Times New Roman"/>
          <w:color w:val="0D0D0D"/>
          <w:sz w:val="28"/>
          <w:szCs w:val="28"/>
          <w:highlight w:val="lightGray"/>
          <w:lang w:eastAsia="ru-RU"/>
        </w:rPr>
        <w:br/>
      </w:r>
    </w:p>
    <w:p>
      <w:pPr>
        <w:pStyle w:val="Normal"/>
        <w:tabs>
          <w:tab w:val="clear" w:pos="708"/>
          <w:tab w:val="left" w:pos="1695" w:leader="none"/>
        </w:tabs>
        <w:spacing w:lineRule="auto" w:line="360" w:before="0" w:after="0"/>
        <w:rPr>
          <w:rFonts w:ascii="Times New Roman" w:hAnsi="Times New Roman" w:eastAsia="Times New Roman" w:cs="Times New Roman"/>
          <w:color w:val="0D0D0D"/>
          <w:sz w:val="28"/>
          <w:szCs w:val="28"/>
          <w:highlight w:val="cyan"/>
          <w:lang w:eastAsia="ru-RU"/>
        </w:rPr>
      </w:pPr>
      <w:r>
        <w:rPr>
          <w:rFonts w:cs="Times New Roman" w:ascii="Times New Roman" w:hAnsi="Times New Roman"/>
          <w:sz w:val="28"/>
          <w:szCs w:val="28"/>
        </w:rPr>
        <w:t>Далее мы выходим к станции метро «Багратионовская» Филевской линии; станция была открыта 13 октября 1961 года. Над вестибюлем станции проходит улица Барклая.</w:t>
      </w:r>
    </w:p>
    <w:p>
      <w:pPr>
        <w:pStyle w:val="Normal"/>
        <w:tabs>
          <w:tab w:val="clear" w:pos="708"/>
          <w:tab w:val="left" w:pos="1695" w:leader="none"/>
        </w:tabs>
        <w:spacing w:lineRule="auto" w:line="360" w:before="0"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</w:t>
      </w:r>
      <w:r>
        <w:rPr>
          <w:rFonts w:cs="Times New Roman" w:ascii="Times New Roman" w:hAnsi="Times New Roman"/>
          <w:sz w:val="28"/>
          <w:szCs w:val="28"/>
        </w:rPr>
        <w:t xml:space="preserve">Михаил Богданович Барклай-де-Толли  - князь, русский полководец. К началу Отечественной войны 1812 года совмещает две важные должности: главнокомандующего 1-й Западной армией и военного министра. </w:t>
      </w:r>
      <w:r>
        <w:rPr>
          <w:rFonts w:cs="Times New Roman" w:ascii="Times New Roman" w:hAnsi="Times New Roman"/>
          <w:color w:val="000000"/>
          <w:sz w:val="28"/>
          <w:szCs w:val="28"/>
        </w:rPr>
        <w:t>Выдающийся российский полководец, военный министр, генерал-фельдмаршал, командующий русской армией на начальном этапе Отечественной войны 1812 года.</w:t>
      </w:r>
    </w:p>
    <w:p>
      <w:pPr>
        <w:pStyle w:val="Normal"/>
        <w:tabs>
          <w:tab w:val="clear" w:pos="708"/>
          <w:tab w:val="left" w:pos="1695" w:leader="none"/>
        </w:tabs>
        <w:spacing w:lineRule="auto" w:line="360" w:before="0" w:after="0"/>
        <w:rPr/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   </w:t>
      </w:r>
      <w:r>
        <w:rPr>
          <w:rFonts w:cs="Times New Roman" w:ascii="Times New Roman" w:hAnsi="Times New Roman"/>
          <w:color w:val="000000"/>
          <w:sz w:val="28"/>
          <w:szCs w:val="28"/>
        </w:rPr>
        <w:t>Лично отдал приказ об отступлении русской армии, чем вызвал крайнее недовольство общества и был даже обвинен в измене. После того, как в августе 1812 года оставил пост военного министра,  Александр I снимает его с поста главнокомандующего и назначает на эту должность М. И. Кутузова. В начале 1813 года</w:t>
      </w:r>
      <w:r>
        <w:rPr>
          <w:rFonts w:cs="Times New Roman" w:ascii="Times New Roman" w:hAnsi="Times New Roman"/>
          <w:sz w:val="28"/>
          <w:szCs w:val="28"/>
        </w:rPr>
        <w:t xml:space="preserve"> Барклай-де-Толли</w:t>
      </w:r>
      <w:r>
        <w:rPr>
          <w:rFonts w:cs="Times New Roman" w:ascii="Times New Roman" w:hAnsi="Times New Roman"/>
          <w:color w:val="000000"/>
          <w:sz w:val="28"/>
          <w:szCs w:val="28"/>
        </w:rPr>
        <w:t xml:space="preserve"> вновь вернулся в действующую армию по личной просьбе Александра I. </w:t>
      </w:r>
    </w:p>
    <w:p>
      <w:pPr>
        <w:pStyle w:val="Normal"/>
        <w:tabs>
          <w:tab w:val="clear" w:pos="708"/>
          <w:tab w:val="left" w:pos="1695" w:leader="none"/>
        </w:tabs>
        <w:spacing w:lineRule="auto" w:line="360" w:before="0"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</w:r>
    </w:p>
    <w:p>
      <w:pPr>
        <w:pStyle w:val="Normal"/>
        <w:tabs>
          <w:tab w:val="clear" w:pos="708"/>
          <w:tab w:val="left" w:pos="1695" w:leader="none"/>
        </w:tabs>
        <w:spacing w:lineRule="auto" w:line="360" w:before="0" w:after="0"/>
        <w:rPr/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</w:t>
      </w:r>
      <w:r>
        <w:rPr>
          <w:rFonts w:cs="Times New Roman" w:ascii="Times New Roman" w:hAnsi="Times New Roman"/>
          <w:sz w:val="28"/>
          <w:szCs w:val="28"/>
        </w:rPr>
        <w:t>Соединение улицы Барклая и Багратионовского проезда обусловлено исторически. В ходе Бородинского сражения было решено осуществить план соединения армий Барклая-де-Толли и Багратиона у Смоленска, что способствовало краху стратегического плана Наполеона.</w:t>
      </w:r>
    </w:p>
    <w:p>
      <w:pPr>
        <w:pStyle w:val="Normal"/>
        <w:tabs>
          <w:tab w:val="clear" w:pos="708"/>
          <w:tab w:val="left" w:pos="1695" w:leader="none"/>
        </w:tabs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tabs>
          <w:tab w:val="clear" w:pos="708"/>
          <w:tab w:val="left" w:pos="1695" w:leader="none"/>
        </w:tabs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</w:t>
      </w:r>
      <w:r>
        <w:rPr>
          <w:rFonts w:cs="Times New Roman" w:ascii="Times New Roman" w:hAnsi="Times New Roman"/>
          <w:sz w:val="28"/>
          <w:szCs w:val="28"/>
        </w:rPr>
        <w:t xml:space="preserve">По улице Барклая,  двигаясь в сторону Кутузовского проспекта, мы выходим к Триумфальной арке, построенной в 1829-1834 годах по проекту архитектора </w:t>
      </w:r>
      <w:hyperlink r:id="rId11">
        <w:r>
          <w:rPr>
            <w:rStyle w:val="InternetLink"/>
            <w:rFonts w:cs="Times New Roman" w:ascii="Times New Roman" w:hAnsi="Times New Roman"/>
            <w:color w:val="000000"/>
            <w:sz w:val="28"/>
            <w:szCs w:val="28"/>
            <w:u w:val="none"/>
          </w:rPr>
          <w:t>О. И. Бове</w:t>
        </w:r>
      </w:hyperlink>
      <w:r>
        <w:rPr>
          <w:rFonts w:cs="Times New Roman" w:ascii="Times New Roman" w:hAnsi="Times New Roman"/>
          <w:sz w:val="28"/>
          <w:szCs w:val="28"/>
        </w:rPr>
        <w:t xml:space="preserve">  в честь победы русского народа в  </w:t>
      </w:r>
      <w:hyperlink r:id="rId12">
        <w:r>
          <w:rPr>
            <w:rStyle w:val="InternetLink"/>
            <w:rFonts w:cs="Times New Roman" w:ascii="Times New Roman" w:hAnsi="Times New Roman"/>
            <w:color w:val="000000"/>
            <w:sz w:val="28"/>
            <w:szCs w:val="28"/>
            <w:u w:val="none"/>
          </w:rPr>
          <w:t>Отечественной войне 1812 года</w:t>
        </w:r>
      </w:hyperlink>
      <w:r>
        <w:rPr>
          <w:rFonts w:cs="Times New Roman" w:ascii="Times New Roman" w:hAnsi="Times New Roman"/>
          <w:sz w:val="28"/>
          <w:szCs w:val="28"/>
        </w:rPr>
        <w:t xml:space="preserve">.   Первоначально </w:t>
      </w:r>
      <w:hyperlink r:id="rId13">
        <w:r>
          <w:rPr>
            <w:rStyle w:val="InternetLink"/>
            <w:rFonts w:cs="Times New Roman" w:ascii="Times New Roman" w:hAnsi="Times New Roman"/>
            <w:color w:val="000000"/>
            <w:sz w:val="28"/>
            <w:szCs w:val="28"/>
            <w:u w:val="none"/>
          </w:rPr>
          <w:t>арка</w:t>
        </w:r>
      </w:hyperlink>
      <w:r>
        <w:rPr>
          <w:rFonts w:cs="Times New Roman" w:ascii="Times New Roman" w:hAnsi="Times New Roman"/>
          <w:sz w:val="28"/>
          <w:szCs w:val="28"/>
        </w:rPr>
        <w:t xml:space="preserve"> была установлена на </w:t>
      </w:r>
      <w:hyperlink r:id="rId14">
        <w:r>
          <w:rPr>
            <w:rStyle w:val="InternetLink"/>
            <w:rFonts w:cs="Times New Roman" w:ascii="Times New Roman" w:hAnsi="Times New Roman"/>
            <w:color w:val="000000"/>
            <w:sz w:val="28"/>
            <w:szCs w:val="28"/>
            <w:u w:val="none"/>
          </w:rPr>
          <w:t>площади Тверской заставы</w:t>
        </w:r>
      </w:hyperlink>
      <w:r>
        <w:rPr>
          <w:rFonts w:cs="Times New Roman" w:ascii="Times New Roman" w:hAnsi="Times New Roman"/>
          <w:sz w:val="28"/>
          <w:szCs w:val="28"/>
        </w:rPr>
        <w:t xml:space="preserve"> на месте деревянной арки, сооружённой в </w:t>
      </w:r>
      <w:hyperlink r:id="rId15">
        <w:r>
          <w:rPr>
            <w:rStyle w:val="InternetLink"/>
            <w:rFonts w:cs="Times New Roman" w:ascii="Times New Roman" w:hAnsi="Times New Roman"/>
            <w:color w:val="000000"/>
            <w:sz w:val="28"/>
            <w:szCs w:val="28"/>
            <w:u w:val="none"/>
          </w:rPr>
          <w:t>1814 году</w:t>
        </w:r>
      </w:hyperlink>
      <w:r>
        <w:rPr>
          <w:rFonts w:cs="Times New Roman" w:ascii="Times New Roman" w:hAnsi="Times New Roman"/>
          <w:sz w:val="28"/>
          <w:szCs w:val="28"/>
        </w:rPr>
        <w:t xml:space="preserve"> для торжественной встречи русских войск, возвращавшихся из </w:t>
      </w:r>
      <w:hyperlink r:id="rId16">
        <w:r>
          <w:rPr>
            <w:rStyle w:val="InternetLink"/>
            <w:rFonts w:cs="Times New Roman" w:ascii="Times New Roman" w:hAnsi="Times New Roman"/>
            <w:color w:val="000000"/>
            <w:sz w:val="28"/>
            <w:szCs w:val="28"/>
            <w:u w:val="none"/>
          </w:rPr>
          <w:t>Парижа</w:t>
        </w:r>
      </w:hyperlink>
      <w:r>
        <w:rPr>
          <w:rFonts w:cs="Times New Roman" w:ascii="Times New Roman" w:hAnsi="Times New Roman"/>
          <w:sz w:val="28"/>
          <w:szCs w:val="28"/>
        </w:rPr>
        <w:t xml:space="preserve"> после </w:t>
      </w:r>
      <w:hyperlink r:id="rId17">
        <w:r>
          <w:rPr>
            <w:rStyle w:val="InternetLink"/>
            <w:rFonts w:cs="Times New Roman" w:ascii="Times New Roman" w:hAnsi="Times New Roman"/>
            <w:color w:val="000000"/>
            <w:sz w:val="28"/>
            <w:szCs w:val="28"/>
            <w:u w:val="none"/>
          </w:rPr>
          <w:t>победы над французским войсками</w:t>
        </w:r>
      </w:hyperlink>
      <w:r>
        <w:rPr>
          <w:rFonts w:cs="Times New Roman" w:ascii="Times New Roman" w:hAnsi="Times New Roman"/>
          <w:sz w:val="28"/>
          <w:szCs w:val="28"/>
        </w:rPr>
        <w:t>. В настоящее время Триумфальная арка расположена возле Парка Победы на Кутузовском проспекте.</w:t>
      </w:r>
    </w:p>
    <w:p>
      <w:pPr>
        <w:pStyle w:val="Normal"/>
        <w:tabs>
          <w:tab w:val="clear" w:pos="708"/>
          <w:tab w:val="left" w:pos="1695" w:leader="none"/>
        </w:tabs>
        <w:spacing w:lineRule="auto" w:line="360" w:before="0" w:after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tabs>
          <w:tab w:val="clear" w:pos="708"/>
          <w:tab w:val="left" w:pos="1695" w:leader="none"/>
        </w:tabs>
        <w:spacing w:lineRule="auto" w:line="360" w:before="0" w:after="0"/>
        <w:rPr/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</w:t>
      </w:r>
      <w:r>
        <w:rPr>
          <w:rFonts w:cs="Times New Roman" w:ascii="Times New Roman" w:hAnsi="Times New Roman"/>
          <w:sz w:val="28"/>
          <w:szCs w:val="28"/>
        </w:rPr>
        <w:t xml:space="preserve">На этом наша экскурсия подходит к концу. Конечно, мы не затронули много других интересных мест, связанных с Отечественной войной 1812 года в нашем Западном округе, но думаем, что Вы, побывав на нашей экскурсии, заинтересуетесь этой темой и захотите посетить памятные места самостоятельно.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Памятник великому полководцу Кутузову Михаилу Илларионовичу</w:t>
      </w:r>
    </w:p>
    <w:p>
      <w:pPr>
        <w:pStyle w:val="Normal"/>
        <w:rPr>
          <w:lang w:val="en-US" w:eastAsia="en-US"/>
        </w:rPr>
      </w:pPr>
      <w:r>
        <w:rPr>
          <w:lang w:val="en-US" w:eastAsia="en-US"/>
        </w:rPr>
        <w:drawing>
          <wp:inline distT="0" distB="0" distL="0" distR="0">
            <wp:extent cx="2887980" cy="2876550"/>
            <wp:effectExtent l="0" t="0" r="0" b="0"/>
            <wp:docPr id="1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-4" t="-4" r="-4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Военный совет в домике филевского крестьянина А.Фролова</w:t>
      </w:r>
    </w:p>
    <w:p>
      <w:pPr>
        <w:pStyle w:val="Normal"/>
        <w:rPr>
          <w:lang w:val="en-US" w:eastAsia="en-US"/>
        </w:rPr>
      </w:pPr>
      <w:r>
        <w:rPr>
          <w:lang w:val="en-US" w:eastAsia="en-US"/>
        </w:rPr>
        <w:drawing>
          <wp:inline distT="0" distB="0" distL="0" distR="0">
            <wp:extent cx="4076700" cy="2287905"/>
            <wp:effectExtent l="0" t="0" r="0" b="0"/>
            <wp:docPr id="2" name="Рисунок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7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-4" t="-8" r="-4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28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Музей-панорама «Бородинская битва»</w:t>
      </w:r>
    </w:p>
    <w:p>
      <w:pPr>
        <w:pStyle w:val="Normal"/>
        <w:rPr>
          <w:lang w:val="en-US" w:eastAsia="en-US"/>
        </w:rPr>
      </w:pPr>
      <w:r>
        <w:rPr>
          <w:lang w:val="en-US" w:eastAsia="en-US"/>
        </w:rPr>
        <w:drawing>
          <wp:inline distT="0" distB="0" distL="0" distR="0">
            <wp:extent cx="4371340" cy="2722880"/>
            <wp:effectExtent l="0" t="0" r="0" b="0"/>
            <wp:docPr id="3" name="Рисунок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0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-86" t="-115" r="-86" b="-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340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Полководцы и герои Отечественной войны 1812 года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lang w:val="en-US" w:eastAsia="en-US"/>
        </w:rPr>
      </w:pPr>
      <w:r>
        <w:rPr>
          <w:lang w:val="en-US" w:eastAsia="en-US"/>
        </w:rPr>
        <w:drawing>
          <wp:inline distT="0" distB="0" distL="0" distR="0">
            <wp:extent cx="4476115" cy="3312160"/>
            <wp:effectExtent l="0" t="0" r="0" b="0"/>
            <wp:docPr id="4" name="Рисунок 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6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-11" t="-15" r="-11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115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Бородинское сражение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  <w:lang w:val="en-US" w:eastAsia="en-US"/>
        </w:rPr>
        <w:drawing>
          <wp:inline distT="0" distB="0" distL="0" distR="0">
            <wp:extent cx="5448300" cy="3503295"/>
            <wp:effectExtent l="0" t="0" r="0" b="0"/>
            <wp:docPr id="5" name="Рисунок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3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-4" t="-6" r="-4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50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tabs>
          <w:tab w:val="clear" w:pos="708"/>
          <w:tab w:val="center" w:pos="4677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Михаил Богданович Барклай-де-Толли                  </w:t>
        <w:tab/>
        <w:t>Петр Багратион</w:t>
      </w:r>
    </w:p>
    <w:p>
      <w:pPr>
        <w:pStyle w:val="Normal"/>
        <w:tabs>
          <w:tab w:val="clear" w:pos="708"/>
          <w:tab w:val="center" w:pos="4677" w:leader="none"/>
        </w:tabs>
        <w:rPr>
          <w:sz w:val="24"/>
          <w:szCs w:val="24"/>
        </w:rPr>
      </w:pPr>
      <w:r>
        <w:rPr>
          <w:sz w:val="24"/>
          <w:szCs w:val="24"/>
        </w:rPr>
        <w:tab/>
        <w:t xml:space="preserve">                                                    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drawing>
          <wp:anchor behindDoc="0" distT="0" distB="0" distL="0" distR="114935" simplePos="0" locked="0" layoutInCell="1" allowOverlap="1" relativeHeight="10">
            <wp:simplePos x="0" y="0"/>
            <wp:positionH relativeFrom="column">
              <wp:align>left</wp:align>
            </wp:positionH>
            <wp:positionV relativeFrom="paragraph">
              <wp:posOffset>635</wp:posOffset>
            </wp:positionV>
            <wp:extent cx="2143125" cy="3299460"/>
            <wp:effectExtent l="0" t="0" r="0" b="0"/>
            <wp:wrapSquare wrapText="bothSides"/>
            <wp:docPr id="6" name="Рисунок 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9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-6" t="-3" r="-6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  <w:lang w:val="en-US" w:eastAsia="en-US"/>
        </w:rPr>
        <w:drawing>
          <wp:inline distT="0" distB="0" distL="0" distR="0">
            <wp:extent cx="2329180" cy="3326130"/>
            <wp:effectExtent l="0" t="0" r="0" b="0"/>
            <wp:docPr id="7" name="Рисунок 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25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-4" t="-3" r="-4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332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/>
      </w:r>
    </w:p>
    <w:p>
      <w:pPr>
        <w:pStyle w:val="Normal"/>
        <w:rPr>
          <w:sz w:val="24"/>
          <w:szCs w:val="24"/>
        </w:rPr>
      </w:pPr>
      <w:r>
        <w:rPr>
          <w:rFonts w:cs="Times New Roman" w:ascii="Times New Roman" w:hAnsi="Times New Roman"/>
          <w:sz w:val="28"/>
          <w:szCs w:val="28"/>
        </w:rPr>
        <w:t>Триумфальная арка</w:t>
      </w:r>
    </w:p>
    <w:p>
      <w:pPr>
        <w:pStyle w:val="Normal"/>
        <w:rPr>
          <w:sz w:val="24"/>
          <w:szCs w:val="24"/>
          <w:lang w:val="en-US" w:eastAsia="en-US"/>
        </w:rPr>
      </w:pPr>
      <w:r>
        <w:rPr>
          <w:sz w:val="24"/>
          <w:szCs w:val="24"/>
          <w:lang w:val="en-US" w:eastAsia="en-US"/>
        </w:rPr>
        <w:drawing>
          <wp:inline distT="0" distB="0" distL="0" distR="0">
            <wp:extent cx="4911725" cy="3291840"/>
            <wp:effectExtent l="0" t="0" r="0" b="0"/>
            <wp:docPr id="8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-5" t="-7" r="-5" b="-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725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Список использованной литературы.</w:t>
      </w:r>
    </w:p>
    <w:p>
      <w:pPr>
        <w:pStyle w:val="Style19"/>
        <w:numPr>
          <w:ilvl w:val="0"/>
          <w:numId w:val="2"/>
        </w:numPr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Екатерина Бунтман «Бородинская битва. 1812»</w:t>
      </w:r>
    </w:p>
    <w:p>
      <w:pPr>
        <w:pStyle w:val="Normal"/>
        <w:numPr>
          <w:ilvl w:val="0"/>
          <w:numId w:val="2"/>
        </w:numPr>
        <w:tabs>
          <w:tab w:val="clear" w:pos="708"/>
          <w:tab w:val="left" w:pos="720" w:leader="none"/>
        </w:tabs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Сборник Жизнь Замечательных Людей «Герои 1812 года»</w:t>
      </w:r>
    </w:p>
    <w:p>
      <w:pPr>
        <w:pStyle w:val="Normal"/>
        <w:numPr>
          <w:ilvl w:val="0"/>
          <w:numId w:val="2"/>
        </w:numPr>
        <w:tabs>
          <w:tab w:val="clear" w:pos="708"/>
          <w:tab w:val="left" w:pos="720" w:leader="none"/>
        </w:tabs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Евгений Панасенков «Правда о войне 1812 года»</w:t>
      </w:r>
    </w:p>
    <w:p>
      <w:pPr>
        <w:pStyle w:val="Normal"/>
        <w:numPr>
          <w:ilvl w:val="0"/>
          <w:numId w:val="2"/>
        </w:numPr>
        <w:tabs>
          <w:tab w:val="clear" w:pos="708"/>
          <w:tab w:val="left" w:pos="720" w:leader="none"/>
        </w:tabs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«Отечественная война 1812 года» Биографический словарь</w:t>
      </w:r>
    </w:p>
    <w:p>
      <w:pPr>
        <w:pStyle w:val="Normal"/>
        <w:numPr>
          <w:ilvl w:val="0"/>
          <w:numId w:val="2"/>
        </w:numPr>
        <w:tabs>
          <w:tab w:val="clear" w:pos="708"/>
          <w:tab w:val="left" w:pos="720" w:leader="none"/>
        </w:tabs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В.Г.Сироткин «Отечественная война 1812 года»</w:t>
      </w:r>
    </w:p>
    <w:p>
      <w:pPr>
        <w:pStyle w:val="Normal"/>
        <w:numPr>
          <w:ilvl w:val="0"/>
          <w:numId w:val="2"/>
        </w:numPr>
        <w:tabs>
          <w:tab w:val="clear" w:pos="708"/>
          <w:tab w:val="left" w:pos="720" w:leader="none"/>
        </w:tabs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Журнал «Дилетант» №№ 5-10 за 2012 год</w:t>
      </w:r>
    </w:p>
    <w:p>
      <w:pPr>
        <w:pStyle w:val="Normal"/>
        <w:numPr>
          <w:ilvl w:val="0"/>
          <w:numId w:val="2"/>
        </w:numPr>
        <w:tabs>
          <w:tab w:val="clear" w:pos="708"/>
          <w:tab w:val="left" w:pos="720" w:leader="none"/>
        </w:tabs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Сайт wikipedia.org   ВикипедиЯ. Свободная энциклопедия</w:t>
      </w:r>
    </w:p>
    <w:p>
      <w:pPr>
        <w:pStyle w:val="Normal"/>
        <w:numPr>
          <w:ilvl w:val="0"/>
          <w:numId w:val="2"/>
        </w:numPr>
        <w:tabs>
          <w:tab w:val="clear" w:pos="708"/>
          <w:tab w:val="left" w:pos="720" w:leader="none"/>
        </w:tabs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Яндекс-карты</w:t>
      </w:r>
    </w:p>
    <w:p>
      <w:pPr>
        <w:pStyle w:val="Normal"/>
        <w:numPr>
          <w:ilvl w:val="0"/>
          <w:numId w:val="2"/>
        </w:numPr>
        <w:tabs>
          <w:tab w:val="clear" w:pos="708"/>
          <w:tab w:val="left" w:pos="720" w:leader="none"/>
        </w:tabs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Большая Советская энциклопедия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tabs>
          <w:tab w:val="clear" w:pos="708"/>
          <w:tab w:val="left" w:pos="915" w:leader="none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Маршрут экскурсии</w:t>
      </w:r>
    </w:p>
    <w:p>
      <w:pPr>
        <w:pStyle w:val="Normal"/>
        <w:spacing w:before="0" w:after="200"/>
        <w:rPr>
          <w:lang w:val="en-US" w:eastAsia="en-US"/>
        </w:rPr>
      </w:pPr>
      <w:r>
        <w:rPr>
          <w:lang w:val="en-US" w:eastAsia="en-US"/>
        </w:rPr>
        <w:drawing>
          <wp:inline distT="0" distB="0" distL="0" distR="0">
            <wp:extent cx="5940425" cy="6270625"/>
            <wp:effectExtent l="0" t="0" r="0" b="0"/>
            <wp:docPr id="9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-5" t="-5" r="-5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7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w:type="default" r:id="rId27"/>
      <w:footerReference w:type="first" r:id="rId28"/>
      <w:type w:val="nextPage"/>
      <w:pgSz w:w="11906" w:h="16838"/>
      <w:pgMar w:left="1701" w:right="850" w:header="0" w:top="1134" w:footer="708" w:bottom="1134" w:gutter="0"/>
      <w:pgNumType w:fmt="decimal"/>
      <w:formProt w:val="false"/>
      <w:titlePg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Calibri">
    <w:charset w:val="cc"/>
    <w:family w:val="swiss"/>
    <w:pitch w:val="variable"/>
  </w:font>
  <w:font w:name="Times New Roman">
    <w:charset w:val="cc"/>
    <w:family w:val="roman"/>
    <w:pitch w:val="variable"/>
  </w:font>
  <w:font w:name="Tahoma">
    <w:charset w:val="cc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jc w:val="right"/>
      <w:rPr/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10</w:t>
    </w:r>
    <w:r>
      <w:rPr/>
      <w:fldChar w:fldCharType="end"/>
    </w:r>
  </w:p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pStyle w:val="Heading3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abstractNum w:abstractNumId="2">
    <w:lvl w:ilvl="0">
      <w:start w:val="1"/>
      <w:numFmt w:val="decimal"/>
      <w:lvlText w:val="%1."/>
      <w:lvlJc w:val="left"/>
      <w:pPr>
        <w:ind w:left="1080" w:hanging="36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DejaVu Sans" w:cs="DejaVu Sans"/>
        <w:sz w:val="24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spacing w:lineRule="auto" w:line="276" w:before="0" w:after="200"/>
    </w:pPr>
    <w:rPr>
      <w:rFonts w:ascii="Calibri" w:hAnsi="Calibri" w:eastAsia="Calibri" w:cs="Times New Roman"/>
      <w:color w:val="auto"/>
      <w:sz w:val="22"/>
      <w:szCs w:val="22"/>
      <w:lang w:val="ru-RU" w:bidi="ar-SA" w:eastAsia="zh-CN"/>
    </w:rPr>
  </w:style>
  <w:style w:type="paragraph" w:styleId="Heading3">
    <w:name w:val="Heading 3"/>
    <w:basedOn w:val="Normal"/>
    <w:next w:val="TextBody"/>
    <w:qFormat/>
    <w:pPr>
      <w:numPr>
        <w:ilvl w:val="2"/>
        <w:numId w:val="1"/>
      </w:numPr>
      <w:spacing w:lineRule="auto" w:line="240" w:before="280" w:after="280"/>
      <w:outlineLvl w:val="2"/>
    </w:pPr>
    <w:rPr>
      <w:rFonts w:ascii="Times New Roman" w:hAnsi="Times New Roman" w:eastAsia="Times New Roman" w:cs="Times New Roman"/>
      <w:b/>
      <w:bCs/>
      <w:sz w:val="27"/>
      <w:szCs w:val="27"/>
    </w:rPr>
  </w:style>
  <w:style w:type="character" w:styleId="WW8Num1z0">
    <w:name w:val="WW8Num1z0"/>
    <w:qFormat/>
    <w:rPr/>
  </w:style>
  <w:style w:type="character" w:styleId="WW8Num1z1">
    <w:name w:val="WW8Num1z1"/>
    <w:qFormat/>
    <w:rPr/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character" w:styleId="WW8Num2z0">
    <w:name w:val="WW8Num2z0"/>
    <w:qFormat/>
    <w:rPr/>
  </w:style>
  <w:style w:type="character" w:styleId="WW8Num2z1">
    <w:name w:val="WW8Num2z1"/>
    <w:qFormat/>
    <w:rPr/>
  </w:style>
  <w:style w:type="character" w:styleId="WW8Num2z2">
    <w:name w:val="WW8Num2z2"/>
    <w:qFormat/>
    <w:rPr/>
  </w:style>
  <w:style w:type="character" w:styleId="WW8Num2z3">
    <w:name w:val="WW8Num2z3"/>
    <w:qFormat/>
    <w:rPr/>
  </w:style>
  <w:style w:type="character" w:styleId="WW8Num2z4">
    <w:name w:val="WW8Num2z4"/>
    <w:qFormat/>
    <w:rPr/>
  </w:style>
  <w:style w:type="character" w:styleId="WW8Num2z5">
    <w:name w:val="WW8Num2z5"/>
    <w:qFormat/>
    <w:rPr/>
  </w:style>
  <w:style w:type="character" w:styleId="WW8Num2z6">
    <w:name w:val="WW8Num2z6"/>
    <w:qFormat/>
    <w:rPr/>
  </w:style>
  <w:style w:type="character" w:styleId="WW8Num2z7">
    <w:name w:val="WW8Num2z7"/>
    <w:qFormat/>
    <w:rPr/>
  </w:style>
  <w:style w:type="character" w:styleId="WW8Num2z8">
    <w:name w:val="WW8Num2z8"/>
    <w:qFormat/>
    <w:rPr/>
  </w:style>
  <w:style w:type="character" w:styleId="WW8Num3z0">
    <w:name w:val="WW8Num3z0"/>
    <w:qFormat/>
    <w:rPr>
      <w:sz w:val="28"/>
      <w:szCs w:val="28"/>
    </w:rPr>
  </w:style>
  <w:style w:type="character" w:styleId="WW8Num3z1">
    <w:name w:val="WW8Num3z1"/>
    <w:qFormat/>
    <w:rPr/>
  </w:style>
  <w:style w:type="character" w:styleId="WW8Num3z2">
    <w:name w:val="WW8Num3z2"/>
    <w:qFormat/>
    <w:rPr/>
  </w:style>
  <w:style w:type="character" w:styleId="WW8Num3z3">
    <w:name w:val="WW8Num3z3"/>
    <w:qFormat/>
    <w:rPr/>
  </w:style>
  <w:style w:type="character" w:styleId="WW8Num3z4">
    <w:name w:val="WW8Num3z4"/>
    <w:qFormat/>
    <w:rPr/>
  </w:style>
  <w:style w:type="character" w:styleId="WW8Num3z5">
    <w:name w:val="WW8Num3z5"/>
    <w:qFormat/>
    <w:rPr/>
  </w:style>
  <w:style w:type="character" w:styleId="WW8Num3z6">
    <w:name w:val="WW8Num3z6"/>
    <w:qFormat/>
    <w:rPr/>
  </w:style>
  <w:style w:type="character" w:styleId="WW8Num3z7">
    <w:name w:val="WW8Num3z7"/>
    <w:qFormat/>
    <w:rPr/>
  </w:style>
  <w:style w:type="character" w:styleId="WW8Num3z8">
    <w:name w:val="WW8Num3z8"/>
    <w:qFormat/>
    <w:rPr/>
  </w:style>
  <w:style w:type="character" w:styleId="Style13">
    <w:name w:val="Основной шрифт абзаца"/>
    <w:qFormat/>
    <w:rPr/>
  </w:style>
  <w:style w:type="character" w:styleId="Appleconvertedspace">
    <w:name w:val="apple-converted-space"/>
    <w:basedOn w:val="Style13"/>
    <w:qFormat/>
    <w:rPr/>
  </w:style>
  <w:style w:type="character" w:styleId="Verseno">
    <w:name w:val="verseno"/>
    <w:basedOn w:val="Style13"/>
    <w:qFormat/>
    <w:rPr/>
  </w:style>
  <w:style w:type="character" w:styleId="Page">
    <w:name w:val="page"/>
    <w:basedOn w:val="Style13"/>
    <w:qFormat/>
    <w:rPr/>
  </w:style>
  <w:style w:type="character" w:styleId="InternetLink">
    <w:name w:val="Internet Link"/>
    <w:rPr>
      <w:color w:val="0000FF"/>
      <w:u w:val="single"/>
    </w:rPr>
  </w:style>
  <w:style w:type="character" w:styleId="Style14">
    <w:name w:val="Текст выноски Знак"/>
    <w:qFormat/>
    <w:rPr>
      <w:rFonts w:ascii="Tahoma" w:hAnsi="Tahoma" w:cs="Tahoma"/>
      <w:sz w:val="16"/>
      <w:szCs w:val="16"/>
    </w:rPr>
  </w:style>
  <w:style w:type="character" w:styleId="3">
    <w:name w:val="Заголовок 3 Знак"/>
    <w:qFormat/>
    <w:rPr>
      <w:rFonts w:ascii="Times New Roman" w:hAnsi="Times New Roman" w:eastAsia="Times New Roman" w:cs="Times New Roman"/>
      <w:b/>
      <w:bCs/>
      <w:sz w:val="27"/>
      <w:szCs w:val="27"/>
    </w:rPr>
  </w:style>
  <w:style w:type="character" w:styleId="Style15">
    <w:name w:val="Верхний колонтитул Знак"/>
    <w:basedOn w:val="Style13"/>
    <w:qFormat/>
    <w:rPr/>
  </w:style>
  <w:style w:type="character" w:styleId="Style16">
    <w:name w:val="Нижний колонтитул Знак"/>
    <w:basedOn w:val="Style13"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Arial" w:hAnsi="Arial" w:eastAsia="DejaVu Sans" w:cs="DejaVu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/>
  </w:style>
  <w:style w:type="paragraph" w:styleId="Style17">
    <w:name w:val="Обычный (веб)"/>
    <w:basedOn w:val="Normal"/>
    <w:qFormat/>
    <w:pPr>
      <w:spacing w:lineRule="auto" w:line="240" w:before="280" w:after="280"/>
    </w:pPr>
    <w:rPr>
      <w:rFonts w:ascii="Times New Roman" w:hAnsi="Times New Roman" w:eastAsia="Times New Roman" w:cs="Times New Roman"/>
      <w:sz w:val="24"/>
      <w:szCs w:val="24"/>
    </w:rPr>
  </w:style>
  <w:style w:type="paragraph" w:styleId="Sti4">
    <w:name w:val="sti4"/>
    <w:basedOn w:val="Normal"/>
    <w:qFormat/>
    <w:pPr>
      <w:spacing w:lineRule="auto" w:line="240" w:before="280" w:after="280"/>
    </w:pPr>
    <w:rPr>
      <w:rFonts w:ascii="Times New Roman" w:hAnsi="Times New Roman" w:eastAsia="Times New Roman" w:cs="Times New Roman"/>
      <w:sz w:val="24"/>
      <w:szCs w:val="24"/>
    </w:rPr>
  </w:style>
  <w:style w:type="paragraph" w:styleId="Style18">
    <w:name w:val="Текст выноски"/>
    <w:basedOn w:val="Normal"/>
    <w:qFormat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19">
    <w:name w:val="Абзац списка"/>
    <w:basedOn w:val="Normal"/>
    <w:qFormat/>
    <w:pPr>
      <w:spacing w:before="0" w:after="200"/>
      <w:ind w:left="720" w:hanging="0"/>
      <w:contextualSpacing/>
    </w:pPr>
    <w:rPr/>
  </w:style>
  <w:style w:type="paragraph" w:styleId="Style20">
    <w:name w:val="Название объекта"/>
    <w:basedOn w:val="Normal"/>
    <w:next w:val="Normal"/>
    <w:qFormat/>
    <w:pPr>
      <w:spacing w:lineRule="auto" w:line="240"/>
    </w:pPr>
    <w:rPr>
      <w:b/>
      <w:bCs/>
      <w:color w:val="4F81BD"/>
      <w:sz w:val="18"/>
      <w:szCs w:val="18"/>
    </w:rPr>
  </w:style>
  <w:style w:type="paragraph" w:styleId="Header">
    <w:name w:val="Header"/>
    <w:basedOn w:val="Normal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Footer">
    <w:name w:val="Footer"/>
    <w:basedOn w:val="Normal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://ru.wikipedia.org/wiki/&#1054;&#1090;&#1077;&#1095;&#1077;&#1089;&#1090;&#1074;&#1077;&#1085;&#1085;&#1072;&#1103;_&#1074;&#1086;&#1081;&#1085;&#1072;_1812_&#1075;&#1086;&#1076;&#1072;" TargetMode="External"/><Relationship Id="rId3" Type="http://schemas.openxmlformats.org/officeDocument/2006/relationships/hyperlink" Target="http://ru.wikipedia.org/wiki/&#1056;&#1086;&#1089;&#1089;&#1080;&#1081;&#1089;&#1082;&#1072;&#1103;_&#1080;&#1084;&#1087;&#1077;&#1088;&#1080;&#1103;" TargetMode="External"/><Relationship Id="rId4" Type="http://schemas.openxmlformats.org/officeDocument/2006/relationships/hyperlink" Target="http://ru.wikipedia.org/wiki/&#1053;&#1080;&#1082;&#1086;&#1083;&#1072;&#1081;_II" TargetMode="External"/><Relationship Id="rId5" Type="http://schemas.openxmlformats.org/officeDocument/2006/relationships/hyperlink" Target="http://ru.wikipedia.org/wiki/1912_&#1075;&#1086;&#1076;" TargetMode="External"/><Relationship Id="rId6" Type="http://schemas.openxmlformats.org/officeDocument/2006/relationships/hyperlink" Target="http://ru.wikipedia.org/wiki/&#1055;&#1072;&#1074;&#1080;&#1083;&#1100;&#1086;&#1085;" TargetMode="External"/><Relationship Id="rId7" Type="http://schemas.openxmlformats.org/officeDocument/2006/relationships/hyperlink" Target="http://ru.wikipedia.org/wiki/&#1063;&#1080;&#1089;&#1090;&#1099;&#1077;_&#1087;&#1088;&#1091;&#1076;&#1099;" TargetMode="External"/><Relationship Id="rId8" Type="http://schemas.openxmlformats.org/officeDocument/2006/relationships/hyperlink" Target="http://ru.wikipedia.org/wiki/1918_&#1075;&#1086;&#1076;" TargetMode="External"/><Relationship Id="rId9" Type="http://schemas.openxmlformats.org/officeDocument/2006/relationships/hyperlink" Target="http://ru.wikipedia.org/wiki/1962_&#1075;&#1086;&#1076;" TargetMode="External"/><Relationship Id="rId10" Type="http://schemas.openxmlformats.org/officeDocument/2006/relationships/hyperlink" Target="http://ru.wikipedia.org/wiki/&#1050;&#1091;&#1090;&#1091;&#1079;&#1086;&#1074;&#1089;&#1082;&#1080;&#1081;_&#1087;&#1088;&#1086;&#1089;&#1087;&#1077;&#1082;&#1090;" TargetMode="External"/><Relationship Id="rId11" Type="http://schemas.openxmlformats.org/officeDocument/2006/relationships/hyperlink" Target="http://ru.wikipedia.org/wiki/&#1041;&#1086;&#1074;&#1077;,_&#1054;&#1089;&#1080;&#1087;_&#1048;&#1074;&#1072;&#1085;&#1086;&#1074;&#1080;&#1095;" TargetMode="External"/><Relationship Id="rId12" Type="http://schemas.openxmlformats.org/officeDocument/2006/relationships/hyperlink" Target="http://ru.wikipedia.org/wiki/&#1054;&#1090;&#1077;&#1095;&#1077;&#1089;&#1090;&#1074;&#1077;&#1085;&#1085;&#1072;&#1103;_&#1074;&#1086;&#1081;&#1085;&#1072;_1812_&#1075;&#1086;&#1076;&#1072;" TargetMode="External"/><Relationship Id="rId13" Type="http://schemas.openxmlformats.org/officeDocument/2006/relationships/hyperlink" Target="http://ru.wikipedia.org/wiki/&#1040;&#1088;&#1082;&#1072;" TargetMode="External"/><Relationship Id="rId14" Type="http://schemas.openxmlformats.org/officeDocument/2006/relationships/hyperlink" Target="http://ru.wikipedia.org/wiki/&#1058;&#1074;&#1077;&#1088;&#1089;&#1082;&#1072;&#1103;_&#1047;&#1072;&#1089;&#1090;&#1072;&#1074;&#1072;,_&#1087;&#1083;&#1086;&#1097;&#1072;&#1076;&#1100;" TargetMode="External"/><Relationship Id="rId15" Type="http://schemas.openxmlformats.org/officeDocument/2006/relationships/hyperlink" Target="http://ru.wikipedia.org/wiki/1814_&#1075;&#1086;&#1076;" TargetMode="External"/><Relationship Id="rId16" Type="http://schemas.openxmlformats.org/officeDocument/2006/relationships/hyperlink" Target="http://ru.wikipedia.org/wiki/&#1055;&#1072;&#1088;&#1080;&#1078;" TargetMode="External"/><Relationship Id="rId17" Type="http://schemas.openxmlformats.org/officeDocument/2006/relationships/hyperlink" Target="http://ru.wikipedia.org/wiki/&#1042;&#1086;&#1081;&#1085;&#1072;_&#1064;&#1077;&#1089;&#1090;&#1086;&#1081;_&#1082;&#1086;&#1072;&#1083;&#1080;&#1094;&#1080;&#1080;" TargetMode="External"/><Relationship Id="rId18" Type="http://schemas.openxmlformats.org/officeDocument/2006/relationships/image" Target="media/image1.jpeg"/><Relationship Id="rId19" Type="http://schemas.openxmlformats.org/officeDocument/2006/relationships/image" Target="media/image2.jpeg"/><Relationship Id="rId20" Type="http://schemas.openxmlformats.org/officeDocument/2006/relationships/image" Target="media/image3.jpeg"/><Relationship Id="rId21" Type="http://schemas.openxmlformats.org/officeDocument/2006/relationships/image" Target="media/image4.jpeg"/><Relationship Id="rId22" Type="http://schemas.openxmlformats.org/officeDocument/2006/relationships/image" Target="media/image5.jpeg"/><Relationship Id="rId23" Type="http://schemas.openxmlformats.org/officeDocument/2006/relationships/image" Target="media/image6.jpeg"/><Relationship Id="rId24" Type="http://schemas.openxmlformats.org/officeDocument/2006/relationships/image" Target="media/image7.jpeg"/><Relationship Id="rId25" Type="http://schemas.openxmlformats.org/officeDocument/2006/relationships/image" Target="media/image8.jpeg"/><Relationship Id="rId26" Type="http://schemas.openxmlformats.org/officeDocument/2006/relationships/image" Target="media/image9.jpeg"/><Relationship Id="rId27" Type="http://schemas.openxmlformats.org/officeDocument/2006/relationships/footer" Target="footer1.xml"/><Relationship Id="rId28" Type="http://schemas.openxmlformats.org/officeDocument/2006/relationships/footer" Target="footer2.xml"/><Relationship Id="rId29" Type="http://schemas.openxmlformats.org/officeDocument/2006/relationships/numbering" Target="numbering.xml"/><Relationship Id="rId30" Type="http://schemas.openxmlformats.org/officeDocument/2006/relationships/fontTable" Target="fontTable.xml"/><Relationship Id="rId31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Application>LibreOffice/6.1.5.2$Linux_X86_64 LibreOffice_project/10$Build-2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2019-02-27T10:39:00Z</dcterms:created>
  <dc:creator>Admin</dc:creator>
  <dc:description/>
  <dc:language>en-US</dc:language>
  <cp:lastModifiedBy>5</cp:lastModifiedBy>
  <cp:lastPrinted>2018-11-21T07:13:00Z</cp:lastPrinted>
  <dcterms:modified xsi:type="dcterms:W3CDTF">2019-02-27T10:49:00Z</dcterms:modified>
  <cp:revision>4</cp:revision>
  <dc:subject/>
  <dc:title/>
</cp:coreProperties>
</file>