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федеральное государственное бюджетное 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образовательное  учреждение  высшего образования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«Российский  экономический университет  имени  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Плеханова»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>Финансовый факультет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Базовая кафедра финансового контроля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анализа и аудита Главного контрольного управления города Москвы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ЭССЕ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 дисциплине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«Анализ финансовых рисков»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 тему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«Портфельные риски предприятия»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Выполнила</w:t>
      </w: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студентка группы </w:t>
      </w:r>
      <w:r>
        <w:rPr>
          <w:sz w:val="28"/>
          <w:szCs w:val="28"/>
          <w:rtl w:val="0"/>
          <w:lang w:val="ru-RU"/>
        </w:rPr>
        <w:t>2410</w:t>
      </w: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Финансового факультета</w:t>
      </w: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Ковалькова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Преподаватель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доцент Базовой кафедры финансового контроля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анализа и аудита Главного контрольного управления города Москвы </w:t>
      </w:r>
    </w:p>
    <w:p>
      <w:pPr>
        <w:pStyle w:val="Normal.0"/>
        <w:spacing w:after="0"/>
        <w:ind w:left="4962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Голощапова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40" w:after="60"/>
        <w:jc w:val="center"/>
        <w:outlineLvl w:val="4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Москва – </w:t>
      </w:r>
      <w:r>
        <w:rPr>
          <w:sz w:val="28"/>
          <w:szCs w:val="28"/>
          <w:rtl w:val="0"/>
          <w:lang w:val="ru-RU"/>
        </w:rPr>
        <w:t>2019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Управление портфелем ценных бумаг означает планирование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анализ и регулирование состава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 формирование и поддержку для достижения поставленных целей при сохранении необходимого уровня его ликвидности и минимизации связанных с ним расходов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Каждый владелец пытается сформировать оптимальный портфель ценных бумаг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Оптимальный портфель ценных бумаг – это такой портфель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бы соответствовал требованиям предприятия как по доходности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по рискованностью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достигается увеличением количества ценных бумаг в портфеле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Исходя из вышеперечисленных фундаментальных утверждений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выделить о</w:t>
      </w:r>
      <w:r>
        <w:rPr>
          <w:sz w:val="28"/>
          <w:szCs w:val="28"/>
          <w:rtl w:val="0"/>
          <w:lang w:val="ru-RU"/>
        </w:rPr>
        <w:t>сновной принцип оптимизации портфеля 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диверсификация вложений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то есть приобретение разных по инвестиционным качествам типов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ценных бумаг с целью снижения риска потерь и повышения совокупной доходности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Диверсификация основана на различиях в колебаниях доходов – цен на объекты инвестирования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Риск существенно снижается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активы акционерного общества распределяются между многими видами ценных бумаг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Основным принципом оптимизации портфеля ценных бумаг является принцип диверсификации вложений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распределение вложений между множеством разных по инвестиционным качествам ценных бумаг с целью снижения риска общих потерь и повышения совокупной доходности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Кроме этого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придерживаться общего принципа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действующего на фондовом рынке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чем больше потенциальный риск несет ценная бумага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более высокий потенциальный доход он должен приносить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наоборот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Основной причиной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инвесторы хранят свои финансовые активы как часть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 вкладывают все средства в одну компанию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снижение риска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точки зрения инвесторов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которых ценные бумаги составляют основную статью дохода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тот 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курсы отдельных ценных бумаг растут или снижаются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очень важен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Самым важным для инвесторов является прибыль его портфеля и степень его риска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Риск инвестиционного портфеля зачастую дифференцируется на несколько видов локальных рисков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систематические и несистематические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Рассмотрим их подробнее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Систематические риски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Макроэкономические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трансформации на уровне регионов или отраслей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Риски масштаба страны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глобальные перемены в экономической политике государства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Законодательный риск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волатильность правового поля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Валютный риск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риск изменения валютного курса и возникновения отрицательной курсовой разницы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Несистематические риски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Микроэкономические риски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риски внутри корпораций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Кредитный риск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Риск недобросовестности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риск неконтролируемых махинаций на фондовой бирже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Внутренние риски портфельного менеджмента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Операционный риск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Квалификационный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Зачастую несистематический риск называют еще диверсифицируемым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аккумулирует все локальные виды рисков вокруг конкретной ценной бумаги и эмитента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легко устраняется при помощи подбора специальных финансовых инструментов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снижающих рискованность операции с ценной бумагой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свою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систематичный тип рисков сложен в управлении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зависит по большей степени от ситуации в стране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 уровня экономического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степени деловой активности государства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степени привлеченности трудовых и финансовых ресурсов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условиях высокого систематического риска возникает вопрос целесообразности инвестирования портфелем ценных бумаг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выгодным вариантом в такой ситуации выступает вложение свободных денежных средств инвестора в реальные активы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отличие от ожидаемой прибыли за портфелем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степень риска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является средней удельной величине отклонений по отдельным пакетам 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входящих в портфель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Степень риска портфеля будет меньше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Можно объединить два вида портфелей ценных бумаг с достаточно высокой степенью риска и сформировать практически безрисковый портфель ценных бумаг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Причиной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 объединении двух рискованных пакетов получается безрисковый портфель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изменения прибыли происходят в противоположных направлениях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когда прибыль по пакету ценных бумаг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уменьшается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пакету ценных бумаг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увеличивается и наоборот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Тенденция двух переменных одновременно меняться называется корреляцией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тенденция измеряется коэффициентом корреляции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Коэффициент корреляции – мера взаимосвязи двух переменных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Если </w:t>
      </w:r>
      <w:r>
        <w:rPr>
          <w:sz w:val="28"/>
          <w:szCs w:val="28"/>
          <w:rtl w:val="0"/>
          <w:lang w:val="ru-RU"/>
        </w:rPr>
        <w:t xml:space="preserve">R= -1 </w:t>
      </w:r>
      <w:r>
        <w:rPr>
          <w:sz w:val="28"/>
          <w:szCs w:val="28"/>
          <w:rtl w:val="0"/>
          <w:lang w:val="ru-RU"/>
        </w:rPr>
        <w:t>– это идеально отрицательная корреляция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прибыли по пакетам ценных бумаг изменяются в противоположных направлениях</w:t>
      </w:r>
      <w:r>
        <w:rPr>
          <w:sz w:val="28"/>
          <w:szCs w:val="28"/>
          <w:rtl w:val="0"/>
          <w:lang w:val="ru-RU"/>
        </w:rPr>
        <w:t xml:space="preserve">; R = 1 </w:t>
      </w:r>
      <w:r>
        <w:rPr>
          <w:sz w:val="28"/>
          <w:szCs w:val="28"/>
          <w:rtl w:val="0"/>
          <w:lang w:val="ru-RU"/>
        </w:rPr>
        <w:t>– идеально положительная корреляция – доходы по пакетам ценных бумаг изменяются синхронно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идеально отрицательной корреляции пакетов ценных бумаг любой риск может быть диверсифицирован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практике большинство пакетов имеют положительную корреляцию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она редко бывает идеальной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среднем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коэффициент корреляции по прибылям двух произвольно подобранных пакетов ценных бумаг равен </w:t>
      </w:r>
      <w:r>
        <w:rPr>
          <w:sz w:val="28"/>
          <w:szCs w:val="28"/>
          <w:rtl w:val="0"/>
          <w:lang w:val="ru-RU"/>
        </w:rPr>
        <w:t xml:space="preserve">0,5-0,7. </w:t>
      </w:r>
      <w:r>
        <w:rPr>
          <w:sz w:val="28"/>
          <w:szCs w:val="28"/>
          <w:rtl w:val="0"/>
          <w:lang w:val="ru-RU"/>
        </w:rPr>
        <w:t>В таких случаях объединение пакетов в портфель снижает степень риска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исключает его полностью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увеличении количества пакетов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составляющих портфель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степень риска портфеля снижается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Чем меньше коэффициент положительной корреляции пакетов 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входящих в портфель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ниже риск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включает большое количество пакетов ценных бумаг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Другими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больше диверсификация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ниже его риск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Риск портфеля ценных бумаг состоит из двух частей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диверсифицированного риска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несистематического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рыночного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систематического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риска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Та часть риска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может быть снижена с помощью правильной диверсификации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это диверсифицированный риск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несистематический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Этот риск является следствием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неудачной политики отдельных компаний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обусловлен внутренними факторами 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остается другая часть риска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которую снизить нельзя – эта часть называется рыночным риском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систематическим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В основе рыночного риска лежат 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систематически негативно влияют на большинство компаний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такие общеэкономические явления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спад производства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инфляция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высокие процентные ставки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Различные ценные бумаги неодинаково влияют на риск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они имеют различную степень риска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присущего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Риск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характерный для отдельных ценных бумаг – это риск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не может быть снижен за счет диверсификации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рыночный риск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Данный показатель определяет степень риска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вносящих отдельные ценные бумаги в риск портфеля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который они входят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Рыночный риск ценных бумаг может быть измерен с помощью бета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коэффициента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Ценными бумагами со средним риском считаются 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курс которых имеет тенденцию увеличиваться или уменьшаться синхронно с развитием общего рынка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тенденция измеряется индексами “</w:t>
      </w:r>
      <w:r>
        <w:rPr>
          <w:sz w:val="28"/>
          <w:szCs w:val="28"/>
          <w:rtl w:val="0"/>
          <w:lang w:val="ru-RU"/>
        </w:rPr>
        <w:t>S&amp;P</w:t>
      </w:r>
      <w:r>
        <w:rPr>
          <w:sz w:val="28"/>
          <w:szCs w:val="28"/>
          <w:rtl w:val="0"/>
          <w:lang w:val="ru-RU"/>
        </w:rPr>
        <w:t>”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Доу Джонса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индексами Нью–Йоркской фондовой бирж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Эти ценные бумаги имеют </w:t>
      </w:r>
      <w:r>
        <w:rPr>
          <w:sz w:val="28"/>
          <w:szCs w:val="28"/>
          <w:rtl w:val="0"/>
          <w:lang w:val="ru-RU"/>
        </w:rPr>
        <w:t xml:space="preserve">значение коэффициента </w:t>
      </w:r>
      <w:r>
        <w:rPr>
          <w:sz w:val="28"/>
          <w:szCs w:val="28"/>
          <w:rtl w:val="0"/>
          <w:lang w:val="ru-RU"/>
        </w:rPr>
        <w:t>ß</w:t>
      </w:r>
      <w:r>
        <w:rPr>
          <w:sz w:val="28"/>
          <w:szCs w:val="28"/>
          <w:rtl w:val="0"/>
          <w:lang w:val="ru-RU"/>
        </w:rPr>
        <w:t xml:space="preserve">=1. </w:t>
      </w:r>
      <w:r>
        <w:rPr>
          <w:sz w:val="28"/>
          <w:szCs w:val="28"/>
          <w:rtl w:val="0"/>
          <w:lang w:val="ru-RU"/>
        </w:rPr>
        <w:t>То есть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если цены на рынке увеличатся на </w:t>
      </w:r>
      <w:r>
        <w:rPr>
          <w:sz w:val="28"/>
          <w:szCs w:val="28"/>
          <w:rtl w:val="0"/>
          <w:lang w:val="ru-RU"/>
        </w:rPr>
        <w:t xml:space="preserve">10%, </w:t>
      </w:r>
      <w:r>
        <w:rPr>
          <w:sz w:val="28"/>
          <w:szCs w:val="28"/>
          <w:rtl w:val="0"/>
          <w:lang w:val="ru-RU"/>
        </w:rPr>
        <w:t xml:space="preserve">курс ценных бумаг также увеличится на </w:t>
      </w:r>
      <w:r>
        <w:rPr>
          <w:sz w:val="28"/>
          <w:szCs w:val="28"/>
          <w:rtl w:val="0"/>
          <w:lang w:val="ru-RU"/>
        </w:rPr>
        <w:t>10%.</w:t>
      </w:r>
    </w:p>
    <w:p>
      <w:pPr>
        <w:pStyle w:val="Normal.0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ß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коэффициент определяет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первых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влияние общей ситуации на фондовом рынке на конкретн</w:t>
      </w:r>
      <w:r>
        <w:rPr>
          <w:sz w:val="28"/>
          <w:szCs w:val="28"/>
          <w:rtl w:val="0"/>
          <w:lang w:val="ru-RU"/>
        </w:rPr>
        <w:t>ую</w:t>
      </w:r>
      <w:r>
        <w:rPr>
          <w:sz w:val="28"/>
          <w:szCs w:val="28"/>
          <w:rtl w:val="0"/>
          <w:lang w:val="ru-RU"/>
        </w:rPr>
        <w:t xml:space="preserve"> ценн</w:t>
      </w:r>
      <w:r>
        <w:rPr>
          <w:sz w:val="28"/>
          <w:szCs w:val="28"/>
          <w:rtl w:val="0"/>
          <w:lang w:val="ru-RU"/>
        </w:rPr>
        <w:t>ую</w:t>
      </w:r>
      <w:r>
        <w:rPr>
          <w:sz w:val="28"/>
          <w:szCs w:val="28"/>
          <w:rtl w:val="0"/>
          <w:lang w:val="ru-RU"/>
        </w:rPr>
        <w:t xml:space="preserve"> бумаг</w:t>
      </w:r>
      <w:r>
        <w:rPr>
          <w:sz w:val="28"/>
          <w:szCs w:val="28"/>
          <w:rtl w:val="0"/>
          <w:lang w:val="ru-RU"/>
        </w:rPr>
        <w:t xml:space="preserve">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когда ß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коэффициент является положительным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эффективность ценных бумаг будет аналогична эффективности рынка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наоборот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вторых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этот коэффициент является мерой риска инвестиций в конкретные ценные бумаги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если его значение больше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риск инвестиций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средний на рынке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 значении меньше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– наоборот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0"/>
        <w:jc w:val="both"/>
      </w:pPr>
      <w:r>
        <w:rPr>
          <w:sz w:val="28"/>
          <w:szCs w:val="28"/>
          <w:rtl w:val="0"/>
          <w:lang w:val="ru-RU"/>
        </w:rPr>
        <w:t>Не смотря на свою краткосрочность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портфельные инвестиции приобретают все больше и больше популярности среди современных инвесторов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Связано это с легкостью в управлении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низкой рискованностью в случае непредвиденных экономических ситуаций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почти равными уровнями рискованности в сравнении с банковскими депозитами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с повышением экономической грамотности у экономических субъектов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потенциальных инвесторов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Тем не менее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эффективный риск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менеджмент необходим для достижения максимальной отдачи от портфельных инвестиций</w:t>
      </w:r>
      <w:r>
        <w:rPr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10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num" w:pos="18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num" w:pos="26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8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082"/>
          <w:tab w:val="left" w:pos="5760"/>
          <w:tab w:val="left" w:pos="6480"/>
          <w:tab w:val="left" w:pos="7200"/>
          <w:tab w:val="left" w:pos="7920"/>
          <w:tab w:val="left" w:pos="8640"/>
        </w:tabs>
        <w:ind w:left="42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5882"/>
          <w:tab w:val="left" w:pos="6480"/>
          <w:tab w:val="left" w:pos="7200"/>
          <w:tab w:val="left" w:pos="7920"/>
          <w:tab w:val="left" w:pos="8640"/>
        </w:tabs>
        <w:ind w:left="50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682"/>
          <w:tab w:val="left" w:pos="7200"/>
          <w:tab w:val="left" w:pos="7920"/>
          <w:tab w:val="left" w:pos="8640"/>
        </w:tabs>
        <w:ind w:left="58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82"/>
          <w:tab w:val="left" w:pos="7920"/>
          <w:tab w:val="left" w:pos="8640"/>
        </w:tabs>
        <w:ind w:left="66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left" w:pos="720"/>
          <w:tab w:val="num" w:pos="10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num" w:pos="16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num" w:pos="22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num" w:pos="28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24"/>
          <w:tab w:val="left" w:pos="5760"/>
          <w:tab w:val="left" w:pos="6480"/>
          <w:tab w:val="left" w:pos="7200"/>
          <w:tab w:val="left" w:pos="7920"/>
          <w:tab w:val="left" w:pos="8640"/>
        </w:tabs>
        <w:ind w:left="43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24"/>
          <w:tab w:val="left" w:pos="6480"/>
          <w:tab w:val="left" w:pos="7200"/>
          <w:tab w:val="left" w:pos="7920"/>
          <w:tab w:val="left" w:pos="8640"/>
        </w:tabs>
        <w:ind w:left="49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ы">
    <w:name w:val="Пункты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