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9" w:rsidRDefault="00CD1699" w:rsidP="001867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713E" w:rsidRDefault="0061713E" w:rsidP="00F71EE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6CAA"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  <w:r w:rsidR="00A119F8" w:rsidRPr="00A119F8">
        <w:rPr>
          <w:rFonts w:ascii="Times New Roman" w:eastAsia="Times New Roman" w:hAnsi="Times New Roman" w:cs="Times New Roman"/>
          <w:sz w:val="28"/>
          <w:szCs w:val="28"/>
        </w:rPr>
        <w:t>616.12-008.331.1</w:t>
      </w:r>
    </w:p>
    <w:p w:rsidR="00F71EEA" w:rsidRPr="00A400F1" w:rsidRDefault="00F71EEA" w:rsidP="00F71EE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13E" w:rsidRPr="00A400F1" w:rsidRDefault="002E5510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Покусаева О.С.</w:t>
      </w:r>
      <w:r w:rsidR="00B1447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Калякова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Балданшириева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А.Д.,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Трунова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Ю.А.</w:t>
      </w:r>
    </w:p>
    <w:p w:rsidR="002E5510" w:rsidRPr="002E5510" w:rsidRDefault="004E2F98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 ЭФФЕКТИВНОСТИ </w:t>
      </w:r>
      <w:r w:rsidR="002E5510" w:rsidRPr="002E5510">
        <w:rPr>
          <w:rFonts w:ascii="Times New Roman" w:eastAsia="Times New Roman" w:hAnsi="Times New Roman" w:cs="Times New Roman"/>
          <w:b/>
          <w:sz w:val="28"/>
          <w:szCs w:val="28"/>
        </w:rPr>
        <w:t>ПСИХОЭМОЦИОНАЛЬНОЙ НАГРУЗОЧНОЙ ПРОБЫ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«СТРУП-ТЕСТ»</w:t>
      </w:r>
    </w:p>
    <w:p w:rsidR="002E5510" w:rsidRPr="002E5510" w:rsidRDefault="002E5510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510">
        <w:rPr>
          <w:rFonts w:ascii="Times New Roman" w:eastAsia="Times New Roman" w:hAnsi="Times New Roman" w:cs="Times New Roman"/>
          <w:b/>
          <w:sz w:val="28"/>
          <w:szCs w:val="28"/>
        </w:rPr>
        <w:t xml:space="preserve">В ДИАГНОСТИКЕ АРТЕРИАЛЬНОЙ ГИПЕРТЕНЗИИ </w:t>
      </w:r>
    </w:p>
    <w:p w:rsidR="002E5510" w:rsidRDefault="002E5510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510">
        <w:rPr>
          <w:rFonts w:ascii="Times New Roman" w:eastAsia="Times New Roman" w:hAnsi="Times New Roman" w:cs="Times New Roman"/>
          <w:b/>
          <w:sz w:val="28"/>
          <w:szCs w:val="28"/>
        </w:rPr>
        <w:t>У ДЕТЕЙ И ПОДРОСТКОВ</w:t>
      </w:r>
    </w:p>
    <w:p w:rsidR="0061713E" w:rsidRPr="00A400F1" w:rsidRDefault="0061713E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0F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2E5510">
        <w:rPr>
          <w:rFonts w:ascii="Times New Roman" w:eastAsia="Times New Roman" w:hAnsi="Times New Roman" w:cs="Times New Roman"/>
          <w:sz w:val="28"/>
          <w:szCs w:val="28"/>
        </w:rPr>
        <w:t xml:space="preserve">поликлинической </w:t>
      </w:r>
      <w:r w:rsidR="00164629" w:rsidRPr="00A400F1">
        <w:rPr>
          <w:rFonts w:ascii="Times New Roman" w:eastAsia="Times New Roman" w:hAnsi="Times New Roman" w:cs="Times New Roman"/>
          <w:sz w:val="28"/>
          <w:szCs w:val="28"/>
        </w:rPr>
        <w:t>педиатрии</w:t>
      </w:r>
      <w:r w:rsidR="002E5510">
        <w:rPr>
          <w:rFonts w:ascii="Times New Roman" w:eastAsia="Times New Roman" w:hAnsi="Times New Roman" w:cs="Times New Roman"/>
          <w:sz w:val="28"/>
          <w:szCs w:val="28"/>
        </w:rPr>
        <w:t xml:space="preserve"> и педиатрии ФПК и ПП</w:t>
      </w:r>
    </w:p>
    <w:p w:rsidR="0061713E" w:rsidRPr="00A400F1" w:rsidRDefault="0061713E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0F1">
        <w:rPr>
          <w:rFonts w:ascii="Times New Roman" w:eastAsia="Times New Roman" w:hAnsi="Times New Roman" w:cs="Times New Roman"/>
          <w:sz w:val="28"/>
          <w:szCs w:val="28"/>
        </w:rPr>
        <w:t>Уральский государственный медицинский университет</w:t>
      </w:r>
    </w:p>
    <w:p w:rsidR="0061713E" w:rsidRPr="00A400F1" w:rsidRDefault="0061713E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0F1">
        <w:rPr>
          <w:rFonts w:ascii="Times New Roman" w:eastAsia="Times New Roman" w:hAnsi="Times New Roman" w:cs="Times New Roman"/>
          <w:sz w:val="28"/>
          <w:szCs w:val="28"/>
        </w:rPr>
        <w:t>Екатеринбург, Российская Федерация</w:t>
      </w:r>
    </w:p>
    <w:p w:rsidR="0061713E" w:rsidRPr="00A400F1" w:rsidRDefault="0061713E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510" w:rsidRPr="004E2F98" w:rsidRDefault="002E5510" w:rsidP="005221E9">
      <w:pPr>
        <w:tabs>
          <w:tab w:val="center" w:pos="5173"/>
          <w:tab w:val="left" w:pos="8660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Pokusaeva</w:t>
      </w:r>
      <w:proofErr w:type="spellEnd"/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B1447C" w:rsidRPr="00A400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Kalyakova</w:t>
      </w:r>
      <w:proofErr w:type="spellEnd"/>
      <w:r w:rsidR="00B1447C" w:rsidRPr="004E2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447C" w:rsidRPr="00A400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B1447C" w:rsidRPr="004E2F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1447C" w:rsidRPr="00A400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B1447C" w:rsidRPr="004E2F98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Baldanshirieva</w:t>
      </w:r>
      <w:proofErr w:type="spellEnd"/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Trunova</w:t>
      </w:r>
      <w:proofErr w:type="spellEnd"/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Yu</w:t>
      </w:r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4E2F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1447C" w:rsidRPr="004E2F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0407" w:rsidRPr="00E00407" w:rsidRDefault="00E00407" w:rsidP="005221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E004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EFFICIENCY OF PSYCHO-EMOTIONAL STROOP-TEST IN THE DIAGNOSTICS OF ARTERIAL HYPERTENSION</w:t>
      </w:r>
    </w:p>
    <w:p w:rsidR="00E00407" w:rsidRDefault="00E00407" w:rsidP="005221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E004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FOR CHILDREN AND TEENAGERS</w:t>
      </w:r>
    </w:p>
    <w:p w:rsidR="00164629" w:rsidRPr="001867EB" w:rsidRDefault="00164629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00F1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Department</w:t>
      </w:r>
      <w:r w:rsidRPr="00A400F1">
        <w:rPr>
          <w:rFonts w:ascii="inherit" w:eastAsia="Times New Roman" w:hAnsi="inherit" w:cs="Courier New"/>
          <w:color w:val="212121"/>
          <w:sz w:val="28"/>
          <w:szCs w:val="28"/>
          <w:lang w:val="en-US" w:bidi="ar-SA"/>
        </w:rPr>
        <w:t xml:space="preserve"> </w:t>
      </w:r>
      <w:r w:rsidRPr="00A400F1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of</w:t>
      </w:r>
      <w:r w:rsidRPr="00A400F1">
        <w:rPr>
          <w:rFonts w:ascii="inherit" w:eastAsia="Times New Roman" w:hAnsi="inherit" w:cs="Courier New"/>
          <w:color w:val="212121"/>
          <w:sz w:val="28"/>
          <w:szCs w:val="28"/>
          <w:lang w:val="en-US" w:bidi="ar-SA"/>
        </w:rPr>
        <w:t xml:space="preserve"> </w:t>
      </w:r>
      <w:r w:rsidR="009D45C6">
        <w:rPr>
          <w:rFonts w:ascii="inherit" w:eastAsia="Times New Roman" w:hAnsi="inherit" w:cs="Courier New"/>
          <w:color w:val="212121"/>
          <w:sz w:val="28"/>
          <w:szCs w:val="28"/>
          <w:lang w:val="en-US" w:bidi="ar-SA"/>
        </w:rPr>
        <w:t xml:space="preserve">outpatient pediatrics and </w:t>
      </w:r>
      <w:proofErr w:type="spellStart"/>
      <w:r w:rsidR="009D45C6">
        <w:rPr>
          <w:rFonts w:ascii="inherit" w:eastAsia="Times New Roman" w:hAnsi="inherit" w:cs="Courier New"/>
          <w:color w:val="212121"/>
          <w:sz w:val="28"/>
          <w:szCs w:val="28"/>
          <w:lang w:val="en-US" w:bidi="ar-SA"/>
        </w:rPr>
        <w:t>ped</w:t>
      </w:r>
      <w:proofErr w:type="spellEnd"/>
      <w:r w:rsidR="009D45C6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iatric </w:t>
      </w:r>
      <w:proofErr w:type="spellStart"/>
      <w:r w:rsidR="009D45C6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postgraduating</w:t>
      </w:r>
      <w:proofErr w:type="spellEnd"/>
      <w:r w:rsidR="009D45C6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 training</w:t>
      </w:r>
    </w:p>
    <w:p w:rsidR="0061713E" w:rsidRPr="00A400F1" w:rsidRDefault="0061713E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00F1">
        <w:rPr>
          <w:rFonts w:ascii="Times New Roman" w:eastAsia="Times New Roman" w:hAnsi="Times New Roman" w:cs="Times New Roman"/>
          <w:sz w:val="28"/>
          <w:szCs w:val="28"/>
          <w:lang w:val="en-US"/>
        </w:rPr>
        <w:t>Ural state medical university</w:t>
      </w:r>
    </w:p>
    <w:p w:rsidR="0061713E" w:rsidRPr="00A400F1" w:rsidRDefault="0061713E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00F1">
        <w:rPr>
          <w:rFonts w:ascii="Times New Roman" w:eastAsia="Times New Roman" w:hAnsi="Times New Roman" w:cs="Times New Roman"/>
          <w:sz w:val="28"/>
          <w:szCs w:val="28"/>
          <w:lang w:val="en-US"/>
        </w:rPr>
        <w:t>Yekaterinburg, Russian Federation</w:t>
      </w:r>
    </w:p>
    <w:p w:rsidR="0061713E" w:rsidRPr="00A400F1" w:rsidRDefault="0061713E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1713E" w:rsidRPr="00006CAA" w:rsidRDefault="0061713E" w:rsidP="005221E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00F1">
        <w:rPr>
          <w:rFonts w:ascii="Times New Roman" w:eastAsia="Times New Roman" w:hAnsi="Times New Roman" w:cs="Times New Roman"/>
          <w:sz w:val="28"/>
          <w:szCs w:val="28"/>
          <w:lang w:val="en-US"/>
        </w:rPr>
        <w:t>E-mail:</w:t>
      </w:r>
      <w:r w:rsidR="00164629" w:rsidRPr="00A400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06CAA">
        <w:rPr>
          <w:rFonts w:ascii="Times New Roman" w:eastAsia="Times New Roman" w:hAnsi="Times New Roman" w:cs="Times New Roman"/>
          <w:sz w:val="28"/>
          <w:szCs w:val="28"/>
          <w:lang w:val="en-US"/>
        </w:rPr>
        <w:t>Nata.Kalyakova@yandex.ru</w:t>
      </w:r>
    </w:p>
    <w:p w:rsidR="00A400F1" w:rsidRPr="00A400F1" w:rsidRDefault="00A400F1" w:rsidP="00F71EE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1713E" w:rsidRPr="00A400F1" w:rsidRDefault="0061713E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F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Аннотация. </w:t>
      </w:r>
      <w:r w:rsidR="00E00407" w:rsidRPr="00E00407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психоэмоционального состояния больных проводили с помощью Струп-теста. Тестирование проводили в условиях стационара. До, во время и после тестирования измеряли АД и ЧСС </w:t>
      </w:r>
      <w:r w:rsidR="00E00407">
        <w:rPr>
          <w:rFonts w:ascii="Times New Roman" w:eastAsia="Times New Roman" w:hAnsi="Times New Roman" w:cs="Times New Roman"/>
          <w:sz w:val="28"/>
          <w:szCs w:val="28"/>
        </w:rPr>
        <w:t>у детей, дополнительно проводилось</w:t>
      </w:r>
      <w:r w:rsidR="00E00407" w:rsidRPr="00E00407">
        <w:rPr>
          <w:rFonts w:ascii="Times New Roman" w:eastAsia="Times New Roman" w:hAnsi="Times New Roman" w:cs="Times New Roman"/>
          <w:sz w:val="28"/>
          <w:szCs w:val="28"/>
        </w:rPr>
        <w:t xml:space="preserve"> снятие электрокардиограммы, а также суточное </w:t>
      </w:r>
      <w:proofErr w:type="spellStart"/>
      <w:r w:rsidR="00E00407" w:rsidRPr="00E00407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="00E00407" w:rsidRPr="00E00407">
        <w:rPr>
          <w:rFonts w:ascii="Times New Roman" w:eastAsia="Times New Roman" w:hAnsi="Times New Roman" w:cs="Times New Roman"/>
          <w:sz w:val="28"/>
          <w:szCs w:val="28"/>
        </w:rPr>
        <w:t xml:space="preserve"> артериального давления. Предварительно были проанализированы истории болезни больных (анамнез, жалобы, сопутствующая патология). Проба показала высокую эффективность 63%, что говорит о возможности ее применения в качестве дополнительного метода к уже известным пробам, но для более точной ее оценки необходимы дополнительные исследования с привлечением группы контроля и стандартизация пробы.</w:t>
      </w:r>
    </w:p>
    <w:p w:rsidR="00E00407" w:rsidRDefault="0061713E" w:rsidP="005221E9">
      <w:pPr>
        <w:pStyle w:val="HTML"/>
        <w:shd w:val="clear" w:color="auto" w:fill="FFFFFF"/>
        <w:spacing w:line="276" w:lineRule="auto"/>
        <w:ind w:firstLine="709"/>
        <w:jc w:val="both"/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</w:pPr>
      <w:r w:rsidRPr="00A400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Annotation.</w:t>
      </w:r>
      <w:r w:rsidRPr="00A400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We used Stroop-test as a </w:t>
      </w:r>
      <w:proofErr w:type="spellStart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psychoemotional</w:t>
      </w:r>
      <w:proofErr w:type="spellEnd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 load of children in hospital. Before, during and after testing we estimated arterial pressure and </w:t>
      </w:r>
      <w:proofErr w:type="gramStart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pulse,</w:t>
      </w:r>
      <w:proofErr w:type="gramEnd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 also we estimated ECG and 24-hour blood pressure </w:t>
      </w:r>
      <w:proofErr w:type="spellStart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monitorin</w:t>
      </w:r>
      <w:proofErr w:type="spellEnd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. </w:t>
      </w:r>
      <w:proofErr w:type="spellStart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Wer</w:t>
      </w:r>
      <w:proofErr w:type="spellEnd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 previou</w:t>
      </w:r>
      <w:r w:rsid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sly </w:t>
      </w:r>
      <w:proofErr w:type="spellStart"/>
      <w:r w:rsid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analysed</w:t>
      </w:r>
      <w:proofErr w:type="spellEnd"/>
      <w:r w:rsid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 the medical histories</w:t>
      </w:r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 of patients (medical history, complaints, and related pathology). The Stroop-test showed a high efficiency of 63%. It allows </w:t>
      </w:r>
      <w:proofErr w:type="gramStart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to reveal</w:t>
      </w:r>
      <w:proofErr w:type="gramEnd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 among patients a group of persons with early functional </w:t>
      </w:r>
      <w:proofErr w:type="spellStart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haemodynamic</w:t>
      </w:r>
      <w:proofErr w:type="spellEnd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 infringements that allows to consider them as group of the raised risk of development </w:t>
      </w:r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lastRenderedPageBreak/>
        <w:t xml:space="preserve">of an arterial </w:t>
      </w:r>
      <w:proofErr w:type="spellStart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>hypertensia</w:t>
      </w:r>
      <w:proofErr w:type="spellEnd"/>
      <w:r w:rsidR="00E00407" w:rsidRPr="00E00407">
        <w:rPr>
          <w:rFonts w:ascii="inherit" w:eastAsia="Times New Roman" w:hAnsi="inherit" w:cs="Courier New"/>
          <w:color w:val="212121"/>
          <w:sz w:val="28"/>
          <w:szCs w:val="28"/>
          <w:lang w:val="en" w:bidi="ar-SA"/>
        </w:rPr>
        <w:t xml:space="preserve"> and demands their further supervision and inspection.</w:t>
      </w:r>
    </w:p>
    <w:p w:rsidR="0061713E" w:rsidRPr="00E00407" w:rsidRDefault="00EE4AE3" w:rsidP="005221E9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</w:t>
      </w:r>
      <w:r w:rsidRPr="00E00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слова</w:t>
      </w:r>
      <w:r w:rsidRPr="00E004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00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07" w:rsidRPr="00E00407">
        <w:rPr>
          <w:rFonts w:ascii="Times New Roman" w:eastAsia="Times New Roman" w:hAnsi="Times New Roman" w:cs="Times New Roman"/>
          <w:sz w:val="28"/>
          <w:szCs w:val="28"/>
        </w:rPr>
        <w:t>психоэмоциональный тест, Струп-тест, артериальная гипертензия</w:t>
      </w:r>
    </w:p>
    <w:p w:rsidR="0061713E" w:rsidRPr="00A400F1" w:rsidRDefault="0061713E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00F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 words:</w:t>
      </w:r>
      <w:r w:rsidR="00EE4AE3" w:rsidRPr="00EE4AE3">
        <w:rPr>
          <w:lang w:val="en-US"/>
        </w:rPr>
        <w:t xml:space="preserve"> </w:t>
      </w:r>
      <w:r w:rsidR="00E00407" w:rsidRPr="00E00407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en-US"/>
        </w:rPr>
        <w:t>psycho-emotional test, Stroop-test, hypertensive disease</w:t>
      </w:r>
    </w:p>
    <w:p w:rsidR="0061713E" w:rsidRDefault="0061713E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0F1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E00407" w:rsidRPr="00E00407" w:rsidRDefault="00E00407" w:rsidP="005221E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Заболевания сердечно-сосудистой системы, прежде всего артериальная гипертензия (АГ) и ишемическая болезнь сердца, являются наиболее частой причиной смерти нас</w:t>
      </w:r>
      <w:r w:rsidR="00A32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еления в развитых странах [3]. </w:t>
      </w:r>
      <w:r w:rsidR="00A32703" w:rsidRPr="00A32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Распространенность АГ у детей </w:t>
      </w:r>
      <w:r w:rsidR="00A32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подростков составляет 1-18 %.</w:t>
      </w:r>
      <w:r w:rsidR="00A32703" w:rsidRPr="00A32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327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с АГ отмечено преобладание слабых, эмоционально ранимых типов характера. Результаты исследований указывают на более высокий уровень реактивной и личностной тревожности и преобладание экстра-</w:t>
      </w:r>
      <w:proofErr w:type="spellStart"/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интравертированной</w:t>
      </w:r>
      <w:proofErr w:type="spellEnd"/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направленности у данной группы пациентов [3].</w:t>
      </w:r>
    </w:p>
    <w:p w:rsidR="00E00407" w:rsidRPr="00E00407" w:rsidRDefault="00E00407" w:rsidP="005221E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Проблема ранней диагностики артериальной гипертензии (АГ), своевременно и правильно проводимые профилактика и лечение имеют большое значение для предупреждения заболевания и развития его тяжелых осложнений. В настоящее </w:t>
      </w:r>
      <w:r w:rsidR="00A32703"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 в</w:t>
      </w:r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клинической практике широко применяются методики физического нагрузочного тестирования. Однако, в связи с изменением ритма современной жизни, на первый план среди причин сердечно-сосудистых заболеваний выходят психоэмоциональные факторы. Поэтому изучение состояния сердечно-сосудистой системы при психоэмоциональной нагрузке открывает возможность раннего выявления заболеваний, в том числе, артериальной гипертензии и позволяет наметить пути профилактики и терапии на начальных этапах болезни. Отсюда вытекает большая актуальность психоэмоционального тестирования во врачебной практике [1]. </w:t>
      </w:r>
    </w:p>
    <w:p w:rsidR="0032535C" w:rsidRDefault="00E00407" w:rsidP="005221E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кардиологии используется ряд методик тестирования, позволяющих оценить уровень адаптации организма к воздействию психоэмоциональных раздражителей по гемодинамическим реакциям и выявить гипертензивных лиц с выраженным психосоматическим компонентом. </w:t>
      </w:r>
      <w:r w:rsidR="00723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Зарубежные исследователи рекомендуют для проведения психоэмоциональн</w:t>
      </w:r>
      <w:r w:rsidR="00496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723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 проб стандартизованные </w:t>
      </w:r>
      <w:proofErr w:type="spellStart"/>
      <w:r w:rsidR="00723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низкотребовательные</w:t>
      </w:r>
      <w:proofErr w:type="spellEnd"/>
      <w:r w:rsidR="00723C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тесты, такие как арифметический счет с ограничением времени, соревновательные видеоигры. Проба с использованием арифметического счета подробно описана в руководстве Аронова Д.М. и Лупанова В.П. «Функциональные пробы в кардиологии» и использована во многих исследованиях. Необходимо отметить, что задание на протяжении определенного времени прибавлять 17 к определенному числу может вызвать недостаточную мотивацию и концентрацию внимания у детей, также данная проба имеет возрастные и образовательные ограничения. </w:t>
      </w:r>
      <w:r w:rsidR="00496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Исследования психоэмоционального стресса с использованием игровой технологии считаются </w:t>
      </w:r>
      <w:r w:rsidR="00496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очень интересными и обеспечивают достаточную мотивацию участников. Однако</w:t>
      </w:r>
      <w:proofErr w:type="gramStart"/>
      <w:r w:rsidR="00496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496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настоящее время дети проводят много времени за компьютерными играми, и способность </w:t>
      </w:r>
      <w:r w:rsidR="0032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496B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вызывать психоэмоциональную реакцию </w:t>
      </w:r>
      <w:r w:rsidR="00325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ставится под сомнение. </w:t>
      </w:r>
    </w:p>
    <w:p w:rsidR="00E00407" w:rsidRPr="00E00407" w:rsidRDefault="0032535C" w:rsidP="005221E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существует речевой тест, который осуществляется следующим образом: вначале у пациента необходимо узнать его интересы, затем он подготавливает речь по интересующей теме в течение 5 минут, после чего он ее озвучивает в течение1 минут перед видеокамерой. Однако, применение данного метода у детей сильно ограничено.</w:t>
      </w:r>
    </w:p>
    <w:p w:rsidR="00E00407" w:rsidRPr="00DC2F67" w:rsidRDefault="00E00407" w:rsidP="005221E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данном исследовании для определения патологических типов реакции, опасных развитием артериальной гипертензии, использовали струп-тес</w:t>
      </w:r>
      <w:r w:rsidR="00D46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т, так как на данный момент информационные тесты считаются лучшими, и используются также для изучения индивидуальных особенностей</w:t>
      </w:r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[2].</w:t>
      </w:r>
      <w:r w:rsidR="00606440" w:rsidRPr="006064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</w:t>
      </w:r>
      <w:proofErr w:type="gram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труп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создал свой тест в середине 1930-х годов и сам более к нему не обращался. Однако этот тест привлек к себе внимание тысяч других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исследователеи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̆. Фе</w:t>
      </w:r>
      <w:r w:rsid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номен исследовали вдоль и попе</w:t>
      </w:r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рек, однако поныне над ним витает ореол загадочности. Струп опиралс</w:t>
      </w:r>
      <w:r w:rsid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на работы </w:t>
      </w:r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Дж.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Кеттелла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показавшего разницу в скорос</w:t>
      </w:r>
      <w:r w:rsid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произнесения вслух прочитан</w:t>
      </w:r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слова и называния цвета предъявленного объекта: человек читает, например, слово «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̆» быстрее, чем называет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цвет предъявленного ему красного квадрата. Струп также был воодушевлен исследованием Э.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Йенша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обнаружившего, что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испытуемыи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задерживает свою реакцию на предъявленное слово, если он должен ответить «да» в тот момент, когда ему визуально предъявляется слово «нет». Струп сконструировал оригинальные сти</w:t>
      </w:r>
      <w:r w:rsid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мулы (получившие позднее назва</w:t>
      </w:r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«</w:t>
      </w:r>
      <w:proofErr w:type="gram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Струп-стимулы</w:t>
      </w:r>
      <w:proofErr w:type="gram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»): слова, обозначающие цвет, были написаны другим цветом (например, слово «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синии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̆» было написан</w:t>
      </w:r>
      <w:r w:rsid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зеленым). Задача испытуемого -</w:t>
      </w:r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читая слов, назвать цвет шрифта, которым они написаны. </w:t>
      </w:r>
      <w:proofErr w:type="gram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Струп использовал набор из 5 слов и цветов,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ейчас</w:t>
      </w:r>
      <w:proofErr w:type="spellEnd"/>
      <w:r w:rsid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чаще (в русских версиях -</w:t>
      </w:r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почти всегда) используют 4 цвета: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красныи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̆,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желтыи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̆,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синии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и 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зеленыи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̆. Оказалось, что на выполнение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задачи при предъявлении карты из 100 Струп-стимулов испытуемые тратят в среднем на 50 секунд больше по сравнению с называнием цвета на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карте из 100 цветных пятен или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буквоподобных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знаков.</w:t>
      </w:r>
      <w:proofErr w:type="gram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миллионах проведенных после Струпа исследованиях время задержки (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именуемои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величинои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интерференции) варьировалось в зависимости от разных условий, но (</w:t>
      </w:r>
      <w:proofErr w:type="spellStart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редчайшии</w:t>
      </w:r>
      <w:proofErr w:type="spellEnd"/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случай в психологии!) не было ни одного исследования, где б</w:t>
      </w:r>
      <w:r w:rsidR="00DC2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эта задержка не фиксировалась</w:t>
      </w:r>
      <w:r w:rsidR="00DC2F67" w:rsidRPr="00DC2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[3].</w:t>
      </w:r>
      <w:proofErr w:type="gramEnd"/>
    </w:p>
    <w:p w:rsidR="00D469F2" w:rsidRPr="00606440" w:rsidRDefault="00D469F2" w:rsidP="005221E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Следует отметить, что каждый из вышеперечисленных методов имеет определенные недостатки, заключающиеся в ограничении стандартизации методов, наличие определенного материального обеспечения, зависимость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возрастных и образо</w:t>
      </w:r>
      <w:r w:rsid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вательных особенностей человека [</w:t>
      </w:r>
      <w:r w:rsidR="00DC2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606440" w:rsidRPr="006064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E00407" w:rsidRDefault="00E00407" w:rsidP="005221E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04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исследования</w:t>
      </w:r>
      <w:r w:rsidRPr="00E00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оценить эффективность использования нагрузочного психоэмоционального теста в диагностике АГ у детей</w:t>
      </w:r>
    </w:p>
    <w:p w:rsidR="00B1447C" w:rsidRPr="00B1447C" w:rsidRDefault="0061713E" w:rsidP="005221E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47C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</w:t>
      </w:r>
    </w:p>
    <w:p w:rsidR="00E00407" w:rsidRPr="00606440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Нами было проведено </w:t>
      </w:r>
      <w:proofErr w:type="spellStart"/>
      <w:r w:rsidRPr="00E00407">
        <w:rPr>
          <w:rFonts w:ascii="Times New Roman" w:hAnsi="Times New Roman" w:cs="Times New Roman"/>
          <w:kern w:val="24"/>
          <w:sz w:val="28"/>
          <w:szCs w:val="28"/>
        </w:rPr>
        <w:t>проспективное</w:t>
      </w:r>
      <w:proofErr w:type="spellEnd"/>
      <w:r w:rsidR="004E2F98">
        <w:rPr>
          <w:rFonts w:ascii="Times New Roman" w:hAnsi="Times New Roman" w:cs="Times New Roman"/>
          <w:kern w:val="24"/>
          <w:sz w:val="28"/>
          <w:szCs w:val="28"/>
        </w:rPr>
        <w:t xml:space="preserve"> исследование 105 </w:t>
      </w: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детей и подростков от 10 до 17 лет (средний возраст 14,95 ± 3,4 лет), среди них 75% мальчиков и 25% девочек, находящихся на стационарном лечении в МАУ «ДГКБ №11» г. Екатеринбурга в условиях кардиоревматологического отделения и дневного стационара в период с сентября </w:t>
      </w:r>
      <w:r w:rsidR="004E2F98">
        <w:rPr>
          <w:rFonts w:ascii="Times New Roman" w:hAnsi="Times New Roman" w:cs="Times New Roman"/>
          <w:kern w:val="24"/>
          <w:sz w:val="28"/>
          <w:szCs w:val="28"/>
        </w:rPr>
        <w:t>2018 по март 2019</w:t>
      </w: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 года. Критерием включения пациентов в исследование послужили активные жалобы на повышение АД. Исследования проводили в течение первой недели стационарного лечения. В ходе исследования был проведен сбор жалоб и анамнеза.</w:t>
      </w:r>
    </w:p>
    <w:p w:rsidR="00DC2F67" w:rsidRPr="00DC2F6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Для исследования психоэмоционального состояния больных использовали Струп-тест. </w:t>
      </w:r>
      <w:r w:rsidR="00DC2F67">
        <w:rPr>
          <w:rFonts w:ascii="Times New Roman" w:hAnsi="Times New Roman" w:cs="Times New Roman"/>
          <w:kern w:val="24"/>
          <w:sz w:val="28"/>
          <w:szCs w:val="28"/>
        </w:rPr>
        <w:t>Данная методика одобрена ЛЭК УГМУ. ЛЭК – локальный этический комитет</w:t>
      </w:r>
      <w:proofErr w:type="gramStart"/>
      <w:r w:rsidR="00DC2F67">
        <w:rPr>
          <w:rFonts w:ascii="Times New Roman" w:hAnsi="Times New Roman" w:cs="Times New Roman"/>
          <w:kern w:val="24"/>
          <w:sz w:val="28"/>
          <w:szCs w:val="28"/>
        </w:rPr>
        <w:t>.</w:t>
      </w:r>
      <w:proofErr w:type="gramEnd"/>
      <w:r w:rsidR="00DC2F67">
        <w:rPr>
          <w:rFonts w:ascii="Times New Roman" w:hAnsi="Times New Roman" w:cs="Times New Roman"/>
          <w:kern w:val="24"/>
          <w:sz w:val="28"/>
          <w:szCs w:val="28"/>
        </w:rPr>
        <w:t xml:space="preserve"> Исследование независимо и объективно признано  безопасным</w:t>
      </w:r>
      <w:r w:rsidR="00DC2F67" w:rsidRPr="00DC2F67">
        <w:rPr>
          <w:rFonts w:ascii="Times New Roman" w:hAnsi="Times New Roman" w:cs="Times New Roman"/>
          <w:kern w:val="24"/>
          <w:sz w:val="28"/>
          <w:szCs w:val="28"/>
        </w:rPr>
        <w:t xml:space="preserve"> и </w:t>
      </w:r>
      <w:r w:rsidR="00DC2F67">
        <w:rPr>
          <w:rFonts w:ascii="Times New Roman" w:hAnsi="Times New Roman" w:cs="Times New Roman"/>
          <w:kern w:val="24"/>
          <w:sz w:val="28"/>
          <w:szCs w:val="28"/>
        </w:rPr>
        <w:t xml:space="preserve">не нарушающим </w:t>
      </w:r>
      <w:r w:rsidR="00DC2F67" w:rsidRPr="00DC2F67">
        <w:rPr>
          <w:rFonts w:ascii="Times New Roman" w:hAnsi="Times New Roman" w:cs="Times New Roman"/>
          <w:kern w:val="24"/>
          <w:sz w:val="28"/>
          <w:szCs w:val="28"/>
        </w:rPr>
        <w:t xml:space="preserve">прав </w:t>
      </w:r>
      <w:proofErr w:type="gramStart"/>
      <w:r w:rsidR="00DC2F67" w:rsidRPr="00DC2F67">
        <w:rPr>
          <w:rFonts w:ascii="Times New Roman" w:hAnsi="Times New Roman" w:cs="Times New Roman"/>
          <w:kern w:val="24"/>
          <w:sz w:val="28"/>
          <w:szCs w:val="28"/>
        </w:rPr>
        <w:t>человека</w:t>
      </w:r>
      <w:proofErr w:type="gramEnd"/>
      <w:r w:rsidR="00DC2F67" w:rsidRPr="00DC2F67">
        <w:rPr>
          <w:rFonts w:ascii="Times New Roman" w:hAnsi="Times New Roman" w:cs="Times New Roman"/>
          <w:kern w:val="24"/>
          <w:sz w:val="28"/>
          <w:szCs w:val="28"/>
        </w:rPr>
        <w:t xml:space="preserve"> как на стадии планирования, так и на стадии проведения исследования</w:t>
      </w:r>
      <w:r w:rsidR="00DC2F67">
        <w:rPr>
          <w:rFonts w:ascii="Times New Roman" w:hAnsi="Times New Roman" w:cs="Times New Roman"/>
          <w:kern w:val="24"/>
          <w:sz w:val="28"/>
          <w:szCs w:val="28"/>
        </w:rPr>
        <w:t xml:space="preserve">, соответствует </w:t>
      </w:r>
      <w:r w:rsidR="00DC2F67" w:rsidRPr="00DC2F67">
        <w:rPr>
          <w:rFonts w:ascii="Times New Roman" w:hAnsi="Times New Roman" w:cs="Times New Roman"/>
          <w:kern w:val="24"/>
          <w:sz w:val="28"/>
          <w:szCs w:val="28"/>
        </w:rPr>
        <w:t>гуманистическим и этическим нормам;</w:t>
      </w:r>
    </w:p>
    <w:p w:rsidR="00E00407" w:rsidRPr="00E00407" w:rsidRDefault="00DC2F67" w:rsidP="005221E9">
      <w:pPr>
        <w:spacing w:line="276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00407" w:rsidRPr="00E00407">
        <w:rPr>
          <w:rFonts w:ascii="Times New Roman" w:hAnsi="Times New Roman" w:cs="Times New Roman"/>
          <w:kern w:val="24"/>
          <w:sz w:val="28"/>
          <w:szCs w:val="28"/>
        </w:rPr>
        <w:t xml:space="preserve">Перед исследованием проводился инструктаж и заполнение добровольного информированного согласия на участие в исследовании. Условиями проведения пробы считались: спокойное состояние ребенка, в отсутствие физической нагрузки, дневное время, систолическое (САД) и диастолическое (ДАД) АД, уровень которого не выходит за пределы 10-го и 95-го </w:t>
      </w:r>
      <w:proofErr w:type="spellStart"/>
      <w:r w:rsidR="00E00407" w:rsidRPr="00E00407">
        <w:rPr>
          <w:rFonts w:ascii="Times New Roman" w:hAnsi="Times New Roman" w:cs="Times New Roman"/>
          <w:kern w:val="24"/>
          <w:sz w:val="28"/>
          <w:szCs w:val="28"/>
        </w:rPr>
        <w:t>процентилей</w:t>
      </w:r>
      <w:proofErr w:type="spellEnd"/>
      <w:r w:rsidR="00E00407" w:rsidRPr="00E00407">
        <w:rPr>
          <w:rFonts w:ascii="Times New Roman" w:hAnsi="Times New Roman" w:cs="Times New Roman"/>
          <w:kern w:val="24"/>
          <w:sz w:val="28"/>
          <w:szCs w:val="28"/>
        </w:rPr>
        <w:t xml:space="preserve"> кривой распределения АД в популяции для соответствующего возраста, пола и роста.</w:t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00407">
        <w:rPr>
          <w:rFonts w:ascii="Times New Roman" w:hAnsi="Times New Roman" w:cs="Times New Roman"/>
          <w:kern w:val="24"/>
          <w:sz w:val="28"/>
          <w:szCs w:val="28"/>
        </w:rPr>
        <w:t>Струп-тест - это двухэтапная проба, в литературе описывается как «золотой стандарт» при изучении внимания и когнитивной сферы, который изучается уже н протяжении полувека во многих странах. В настоящее время также применение данного теста описано при диагностике ИБС, сосудистой реактивности, вазоспастической стенокардии.</w:t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При проведении пробы исследуемым предоставляется 2 бланка – бланк 1 (названия цветов написаны черным по белому) и бланк 2 (разными цветами, причем название цвета чаще не совпадает с цветом надписи). Вначале предъявляется черно-белый бланк, затем – цветной. Испытуемому необходимо в условиях лимитированного времени верно назвать слово, изображенное на бланке. Кроме того, во время выполнения теста присутствует параллельный раздражающий фактор в виде звука дрели. </w:t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 Измерялось исходное артериальное давление и ЧСС, затем </w:t>
      </w:r>
      <w:r w:rsidRPr="00E00407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повторявшиеся в ходе психоэмоциональной пробы и после ее проведения. Для измерения систолического (САД) и диастолического (ДАД) артериального давления (АД) по методу Н.С. Короткова и частоты сердечных сокращений (ЧСС) использовали автоматический тонометр A&amp;D </w:t>
      </w:r>
      <w:proofErr w:type="spellStart"/>
      <w:r w:rsidRPr="00E00407">
        <w:rPr>
          <w:rFonts w:ascii="Times New Roman" w:hAnsi="Times New Roman" w:cs="Times New Roman"/>
          <w:kern w:val="24"/>
          <w:sz w:val="28"/>
          <w:szCs w:val="28"/>
        </w:rPr>
        <w:t>Medical</w:t>
      </w:r>
      <w:proofErr w:type="spellEnd"/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 UA-705. Погрешность измерения для этого прибора: АД – менее 3 мм рт. ст. в диапазоне 120–150 мм рт. ст., менее 2 % в диапазоне 150–280 мм рт. ст.; ЧСС – менее 5</w:t>
      </w:r>
      <w:proofErr w:type="gramStart"/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 % Т</w:t>
      </w:r>
      <w:proofErr w:type="gramEnd"/>
      <w:r w:rsidRPr="00E00407">
        <w:rPr>
          <w:rFonts w:ascii="Times New Roman" w:hAnsi="Times New Roman" w:cs="Times New Roman"/>
          <w:kern w:val="24"/>
          <w:sz w:val="28"/>
          <w:szCs w:val="28"/>
        </w:rPr>
        <w:t>акже всем испытуемым  проводило</w:t>
      </w:r>
      <w:r w:rsidR="003A6A0C">
        <w:rPr>
          <w:rFonts w:ascii="Times New Roman" w:hAnsi="Times New Roman" w:cs="Times New Roman"/>
          <w:kern w:val="24"/>
          <w:sz w:val="28"/>
          <w:szCs w:val="28"/>
        </w:rPr>
        <w:t>сь снятие ЭКГ до и после пробы.</w:t>
      </w: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 Критериями положительной пробы явились прирост ЧСС (пороговым значением считался прирост ЧСС более ч</w:t>
      </w:r>
      <w:r w:rsidR="003A6A0C">
        <w:rPr>
          <w:rFonts w:ascii="Times New Roman" w:hAnsi="Times New Roman" w:cs="Times New Roman"/>
          <w:kern w:val="24"/>
          <w:sz w:val="28"/>
          <w:szCs w:val="28"/>
        </w:rPr>
        <w:t>ем на 30 уд/мин) и прирост АД (</w:t>
      </w: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пороговым значением считался прирост САД более 10-20 </w:t>
      </w:r>
      <w:proofErr w:type="spellStart"/>
      <w:r w:rsidRPr="00E00407">
        <w:rPr>
          <w:rFonts w:ascii="Times New Roman" w:hAnsi="Times New Roman" w:cs="Times New Roman"/>
          <w:kern w:val="24"/>
          <w:sz w:val="28"/>
          <w:szCs w:val="28"/>
        </w:rPr>
        <w:t>мм.рт.ст</w:t>
      </w:r>
      <w:proofErr w:type="spellEnd"/>
      <w:r w:rsidRPr="00E00407">
        <w:rPr>
          <w:rFonts w:ascii="Times New Roman" w:hAnsi="Times New Roman" w:cs="Times New Roman"/>
          <w:kern w:val="24"/>
          <w:sz w:val="28"/>
          <w:szCs w:val="28"/>
        </w:rPr>
        <w:t>) [4].</w:t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00407">
        <w:rPr>
          <w:rFonts w:ascii="Times New Roman" w:hAnsi="Times New Roman" w:cs="Times New Roman"/>
          <w:kern w:val="24"/>
          <w:sz w:val="28"/>
          <w:szCs w:val="28"/>
        </w:rPr>
        <w:t>Для контроля полученных данных и подтверждения диагноза было проведено СМАД, во время которого учитывался индекс времени гипертензии по САД и ДАД, где значения свыше 50% указывают на диагноз гипертонической болезни.</w:t>
      </w:r>
    </w:p>
    <w:p w:rsid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Результаты исследований обработаны с помощью программного обеспечения </w:t>
      </w:r>
      <w:proofErr w:type="spellStart"/>
      <w:r w:rsidRPr="00E00407">
        <w:rPr>
          <w:rFonts w:ascii="Times New Roman" w:hAnsi="Times New Roman" w:cs="Times New Roman"/>
          <w:kern w:val="24"/>
          <w:sz w:val="28"/>
          <w:szCs w:val="28"/>
        </w:rPr>
        <w:t>Statistica</w:t>
      </w:r>
      <w:proofErr w:type="spellEnd"/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 6.0. Оценку статистической значимости различий проводили с учетом распределения </w:t>
      </w:r>
      <w:r w:rsidR="004E2F98">
        <w:rPr>
          <w:rFonts w:ascii="Times New Roman" w:hAnsi="Times New Roman" w:cs="Times New Roman"/>
          <w:kern w:val="24"/>
          <w:sz w:val="28"/>
          <w:szCs w:val="28"/>
        </w:rPr>
        <w:t xml:space="preserve">признака по критерию </w:t>
      </w:r>
      <w:r w:rsidRPr="00E00407">
        <w:rPr>
          <w:rFonts w:ascii="Times New Roman" w:hAnsi="Times New Roman" w:cs="Times New Roman"/>
          <w:kern w:val="24"/>
          <w:sz w:val="28"/>
          <w:szCs w:val="28"/>
        </w:rPr>
        <w:t xml:space="preserve">Манна-Уитни, для качественных показателей и оценки влияния признака использован критерий хи-квадрат. Критический уровень значимости определяли как </w:t>
      </w:r>
      <w:proofErr w:type="gramStart"/>
      <w:r w:rsidRPr="00E00407">
        <w:rPr>
          <w:rFonts w:ascii="Times New Roman" w:hAnsi="Times New Roman" w:cs="Times New Roman"/>
          <w:kern w:val="24"/>
          <w:sz w:val="28"/>
          <w:szCs w:val="28"/>
        </w:rPr>
        <w:t>р</w:t>
      </w:r>
      <w:proofErr w:type="gramEnd"/>
      <w:r w:rsidRPr="00E00407">
        <w:rPr>
          <w:rFonts w:ascii="Times New Roman" w:hAnsi="Times New Roman" w:cs="Times New Roman"/>
          <w:kern w:val="24"/>
          <w:sz w:val="28"/>
          <w:szCs w:val="28"/>
        </w:rPr>
        <w:t>&lt;0,05.</w:t>
      </w:r>
    </w:p>
    <w:p w:rsidR="002134F7" w:rsidRDefault="00850531" w:rsidP="005221E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07">
        <w:rPr>
          <w:rFonts w:ascii="Times New Roman" w:hAnsi="Times New Roman" w:cs="Times New Roman"/>
          <w:sz w:val="28"/>
          <w:szCs w:val="28"/>
        </w:rPr>
        <w:t>В ходе сбора анамнестических данных у 6 пациентов выявлена сопутствующая патология: киста почек, хронический гастродуоденит (данные состояния встречались у 2 пациентов каждая), ГЭРБ, бронхиальная астма.</w:t>
      </w:r>
    </w:p>
    <w:p w:rsidR="00E00407" w:rsidRPr="00D17F4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0407">
        <w:rPr>
          <w:rFonts w:ascii="Times New Roman" w:hAnsi="Times New Roman" w:cs="Times New Roman"/>
          <w:sz w:val="28"/>
          <w:szCs w:val="28"/>
        </w:rPr>
        <w:t>Генеалогически отягощенный анамнез выявлен у 90% исследуемых, причем у большинства из них ССЗ прослеживаются как в первом, так и во втором поколениях.</w:t>
      </w:r>
      <w:r w:rsidR="00D17F47">
        <w:rPr>
          <w:rFonts w:ascii="Times New Roman" w:hAnsi="Times New Roman" w:cs="Times New Roman"/>
          <w:sz w:val="28"/>
          <w:szCs w:val="28"/>
        </w:rPr>
        <w:t xml:space="preserve"> </w:t>
      </w:r>
      <w:r w:rsidR="00E10BE1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D17F47" w:rsidRPr="00D17F47">
        <w:rPr>
          <w:rFonts w:ascii="Times New Roman" w:hAnsi="Times New Roman" w:cs="Times New Roman"/>
          <w:sz w:val="28"/>
          <w:szCs w:val="28"/>
        </w:rPr>
        <w:t xml:space="preserve">ока не обнаружено гена или генов ответственных за возникновение гипертонической болезни. Наибольший прогресс в понимании роли наследственной </w:t>
      </w:r>
      <w:proofErr w:type="gramStart"/>
      <w:r w:rsidR="00D17F47" w:rsidRPr="00D17F47">
        <w:rPr>
          <w:rFonts w:ascii="Times New Roman" w:hAnsi="Times New Roman" w:cs="Times New Roman"/>
          <w:sz w:val="28"/>
          <w:szCs w:val="28"/>
        </w:rPr>
        <w:t>предрасположенности</w:t>
      </w:r>
      <w:proofErr w:type="gram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к артериальной гипертензии достигнут при изуч</w:t>
      </w:r>
      <w:r w:rsidR="00D17F47">
        <w:rPr>
          <w:rFonts w:ascii="Times New Roman" w:hAnsi="Times New Roman" w:cs="Times New Roman"/>
          <w:sz w:val="28"/>
          <w:szCs w:val="28"/>
        </w:rPr>
        <w:t>ении генотипов ренин-альдостерон-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ангиотензиновой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системы. Установлено, что полиморфизм гена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ангиотензинпревращающего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фермента (АПФ) определяет активность данного фермента. DD носительство полиморфизма гена АСЕ расценивается как независимый фактор риска развития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эссенциальной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гипертензии, ассоциируется с повышением активности АПФ, что стимулирует мозговой и корковый слой надпочечников и вызывает повышение тонуса гладкомышечной мускулатуры сосудов и общего</w:t>
      </w:r>
      <w:r w:rsidR="00D17F47">
        <w:rPr>
          <w:rFonts w:ascii="Times New Roman" w:hAnsi="Times New Roman" w:cs="Times New Roman"/>
          <w:sz w:val="28"/>
          <w:szCs w:val="28"/>
        </w:rPr>
        <w:t xml:space="preserve"> периферического сосудистого </w:t>
      </w:r>
      <w:r w:rsidR="00D17F47" w:rsidRPr="00D17F47">
        <w:rPr>
          <w:rFonts w:ascii="Times New Roman" w:hAnsi="Times New Roman" w:cs="Times New Roman"/>
          <w:sz w:val="28"/>
          <w:szCs w:val="28"/>
        </w:rPr>
        <w:t xml:space="preserve">сопротивления, ХС ЛПОНП, и высоким уровнем тревоги, что отражает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плейотропный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эффект данного гена. Экспрессия гена Т174М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ангиотензиногена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определяет активност</w:t>
      </w:r>
      <w:r w:rsidR="00D17F47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D17F47">
        <w:rPr>
          <w:rFonts w:ascii="Times New Roman" w:hAnsi="Times New Roman" w:cs="Times New Roman"/>
          <w:sz w:val="28"/>
          <w:szCs w:val="28"/>
        </w:rPr>
        <w:t>ангиотензиногена</w:t>
      </w:r>
      <w:proofErr w:type="spellEnd"/>
      <w:r w:rsidR="00D17F47">
        <w:rPr>
          <w:rFonts w:ascii="Times New Roman" w:hAnsi="Times New Roman" w:cs="Times New Roman"/>
          <w:sz w:val="28"/>
          <w:szCs w:val="28"/>
        </w:rPr>
        <w:t>. Носительство</w:t>
      </w:r>
      <w:r w:rsidR="00D17F47" w:rsidRPr="00D17F47">
        <w:rPr>
          <w:rFonts w:ascii="Times New Roman" w:hAnsi="Times New Roman" w:cs="Times New Roman"/>
          <w:sz w:val="28"/>
          <w:szCs w:val="28"/>
        </w:rPr>
        <w:t xml:space="preserve"> мутантного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Т174М гена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lastRenderedPageBreak/>
        <w:t>ангиотензиногена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ассоциируется с повышением активности АПФ. VNTR полиморфизм гена </w:t>
      </w:r>
      <w:proofErr w:type="gramStart"/>
      <w:r w:rsidR="00D17F47" w:rsidRPr="00D17F47">
        <w:rPr>
          <w:rFonts w:ascii="Times New Roman" w:hAnsi="Times New Roman" w:cs="Times New Roman"/>
          <w:sz w:val="28"/>
          <w:szCs w:val="28"/>
        </w:rPr>
        <w:t>эндотелиальной</w:t>
      </w:r>
      <w:proofErr w:type="gram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синтетазы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оксида азота (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eNOS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) определяет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вазогеннный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эффект NO. Носительство мутантного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аллеля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4а гена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eNOS</w:t>
      </w:r>
      <w:proofErr w:type="spellEnd"/>
      <w:r w:rsidR="00D17F47" w:rsidRPr="00D17F47">
        <w:rPr>
          <w:rFonts w:ascii="Times New Roman" w:hAnsi="Times New Roman" w:cs="Times New Roman"/>
          <w:sz w:val="28"/>
          <w:szCs w:val="28"/>
        </w:rPr>
        <w:t xml:space="preserve"> определяет склонность к </w:t>
      </w:r>
      <w:proofErr w:type="spellStart"/>
      <w:r w:rsidR="00D17F47" w:rsidRPr="00D17F47">
        <w:rPr>
          <w:rFonts w:ascii="Times New Roman" w:hAnsi="Times New Roman" w:cs="Times New Roman"/>
          <w:sz w:val="28"/>
          <w:szCs w:val="28"/>
        </w:rPr>
        <w:t>вазоконстриктор</w:t>
      </w:r>
      <w:r w:rsidR="00D17F4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D17F47">
        <w:rPr>
          <w:rFonts w:ascii="Times New Roman" w:hAnsi="Times New Roman" w:cs="Times New Roman"/>
          <w:sz w:val="28"/>
          <w:szCs w:val="28"/>
        </w:rPr>
        <w:t xml:space="preserve"> реакциям и формированию ЭАГ </w:t>
      </w:r>
      <w:r w:rsidR="00D17F47">
        <w:rPr>
          <w:rFonts w:ascii="Times New Roman" w:hAnsi="Times New Roman" w:cs="Times New Roman"/>
          <w:sz w:val="28"/>
          <w:szCs w:val="28"/>
          <w:lang w:val="en-US"/>
        </w:rPr>
        <w:t>[6].</w:t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07">
        <w:rPr>
          <w:rFonts w:ascii="Times New Roman" w:hAnsi="Times New Roman" w:cs="Times New Roman"/>
          <w:sz w:val="28"/>
          <w:szCs w:val="28"/>
        </w:rPr>
        <w:t>Кроме жалоб на периодическое повышение АД, отмечавшихся у всех пациентов, при опросе наиболее распространенными явились жалобы на головокружение, наличие предобморочных состояний, потемнение в глазах, головные боли, утомляемость боли в области  сердца при эмоциональной нагрузке.</w:t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07">
        <w:rPr>
          <w:rFonts w:ascii="Times New Roman" w:hAnsi="Times New Roman" w:cs="Times New Roman"/>
          <w:sz w:val="28"/>
          <w:szCs w:val="28"/>
        </w:rPr>
        <w:t xml:space="preserve">Среди нарушений вегетативной регуляции преобладали СВД смешанного и </w:t>
      </w:r>
      <w:proofErr w:type="spellStart"/>
      <w:r w:rsidRPr="00E00407">
        <w:rPr>
          <w:rFonts w:ascii="Times New Roman" w:hAnsi="Times New Roman" w:cs="Times New Roman"/>
          <w:sz w:val="28"/>
          <w:szCs w:val="28"/>
        </w:rPr>
        <w:t>симпатикотонического</w:t>
      </w:r>
      <w:proofErr w:type="spellEnd"/>
      <w:r w:rsidRPr="00E00407">
        <w:rPr>
          <w:rFonts w:ascii="Times New Roman" w:hAnsi="Times New Roman" w:cs="Times New Roman"/>
          <w:sz w:val="28"/>
          <w:szCs w:val="28"/>
        </w:rPr>
        <w:t xml:space="preserve"> типов.</w:t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07">
        <w:rPr>
          <w:rFonts w:ascii="Times New Roman" w:hAnsi="Times New Roman" w:cs="Times New Roman"/>
          <w:sz w:val="28"/>
          <w:szCs w:val="28"/>
        </w:rPr>
        <w:t>Согласно полученным данным после психоэмоционального тестирования, положительная проба на АД отмечается у 63% исследуемых, реже встречается реакция со стороны ЧСС – в 56% случаев.</w:t>
      </w:r>
    </w:p>
    <w:p w:rsidR="00E00407" w:rsidRPr="00E00407" w:rsidRDefault="003A6A0C" w:rsidP="003A6A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2F3">
        <w:rPr>
          <w:rFonts w:ascii="Times New Roman" w:hAnsi="Times New Roman"/>
          <w:noProof/>
          <w:szCs w:val="28"/>
          <w:lang w:bidi="ar-SA"/>
        </w:rPr>
        <w:drawing>
          <wp:inline distT="0" distB="0" distL="0" distR="0">
            <wp:extent cx="4597400" cy="3097264"/>
            <wp:effectExtent l="0" t="0" r="12700" b="825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07">
        <w:rPr>
          <w:rFonts w:ascii="Times New Roman" w:hAnsi="Times New Roman" w:cs="Times New Roman"/>
          <w:sz w:val="28"/>
          <w:szCs w:val="28"/>
        </w:rPr>
        <w:t>Рис.1. Результаты проведения психоэмоциональной нагрузочной пробы (р&lt;0,05)</w:t>
      </w:r>
    </w:p>
    <w:p w:rsidR="00A32703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07">
        <w:rPr>
          <w:rFonts w:ascii="Times New Roman" w:hAnsi="Times New Roman" w:cs="Times New Roman"/>
          <w:sz w:val="28"/>
          <w:szCs w:val="28"/>
        </w:rPr>
        <w:t>Во время проведения теста выявлены различные поведенческие реакции исследуемых, проявлявшиеся в неспокойном поведении, покраснении кожи лица, предъявлении жалоб на головную боль, боль в области сердца, головокружение. Часть пациентов отказывались продолжать тест.</w:t>
      </w:r>
      <w:r w:rsidR="001F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07" w:rsidRPr="00E00407" w:rsidRDefault="003A6A0C" w:rsidP="00E00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B33">
        <w:rPr>
          <w:noProof/>
          <w:lang w:bidi="ar-SA"/>
        </w:rPr>
        <w:lastRenderedPageBreak/>
        <w:drawing>
          <wp:inline distT="0" distB="0" distL="0" distR="0">
            <wp:extent cx="4635072" cy="289288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72" cy="29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07" w:rsidRP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07">
        <w:rPr>
          <w:rFonts w:ascii="Times New Roman" w:hAnsi="Times New Roman" w:cs="Times New Roman"/>
          <w:sz w:val="28"/>
          <w:szCs w:val="28"/>
        </w:rPr>
        <w:t xml:space="preserve">Рис.2. Реакция исследуемых на психоэмоциональную нагрузочную пробу </w:t>
      </w:r>
    </w:p>
    <w:p w:rsid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07">
        <w:rPr>
          <w:rFonts w:ascii="Times New Roman" w:hAnsi="Times New Roman" w:cs="Times New Roman"/>
          <w:sz w:val="28"/>
          <w:szCs w:val="28"/>
        </w:rPr>
        <w:t>На ЭКГ до проведения пробы как в покое, так и после физической нагрузки преобладал синусовый ритм. В структуре сердечного ритма во время проведения теста отмечалось увеличение доли синусовой тахикардии, что связано с повышением ЧСС у данных пациентов. При этом</w:t>
      </w:r>
      <w:proofErr w:type="gramStart"/>
      <w:r w:rsidRPr="00E004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0407">
        <w:rPr>
          <w:rFonts w:ascii="Times New Roman" w:hAnsi="Times New Roman" w:cs="Times New Roman"/>
          <w:sz w:val="28"/>
          <w:szCs w:val="28"/>
        </w:rPr>
        <w:t xml:space="preserve"> ишемических изменений со стороны миокарда зафиксировано не было, что указывает на психосоматический характер болей в обла</w:t>
      </w:r>
      <w:r w:rsidR="00850531">
        <w:rPr>
          <w:rFonts w:ascii="Times New Roman" w:hAnsi="Times New Roman" w:cs="Times New Roman"/>
          <w:sz w:val="28"/>
          <w:szCs w:val="28"/>
        </w:rPr>
        <w:t>сти сердца при проведении теста (рис.3)</w:t>
      </w:r>
    </w:p>
    <w:p w:rsidR="00850531" w:rsidRDefault="00850531" w:rsidP="00E00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47013" cy="3787447"/>
            <wp:effectExtent l="0" t="0" r="127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4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408" cy="37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31" w:rsidRDefault="00850531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Рис.3. Показатели ЭКГ до и после </w:t>
      </w:r>
      <w:r w:rsidRPr="00850531">
        <w:rPr>
          <w:rFonts w:ascii="Times New Roman" w:hAnsi="Times New Roman" w:cs="Times New Roman"/>
          <w:sz w:val="28"/>
          <w:szCs w:val="28"/>
        </w:rPr>
        <w:t>психоэм</w:t>
      </w:r>
      <w:r>
        <w:rPr>
          <w:rFonts w:ascii="Times New Roman" w:hAnsi="Times New Roman" w:cs="Times New Roman"/>
          <w:sz w:val="28"/>
          <w:szCs w:val="28"/>
        </w:rPr>
        <w:t>оциональной нагрузочной пробы «С</w:t>
      </w:r>
      <w:r w:rsidRPr="00850531">
        <w:rPr>
          <w:rFonts w:ascii="Times New Roman" w:hAnsi="Times New Roman" w:cs="Times New Roman"/>
          <w:sz w:val="28"/>
          <w:szCs w:val="28"/>
        </w:rPr>
        <w:t>труп-тест»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F47" w:rsidRPr="00D17F47" w:rsidRDefault="00D17F4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подтверждения диагноза АГ использовался метод СМАД. 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lastRenderedPageBreak/>
        <w:t>Клиническое</w:t>
      </w:r>
      <w:proofErr w:type="gramEnd"/>
      <w:r w:rsidRPr="00D17F47">
        <w:rPr>
          <w:rFonts w:ascii="Times New Roman" w:hAnsi="Times New Roman" w:cs="Times New Roman"/>
          <w:sz w:val="28"/>
          <w:szCs w:val="28"/>
        </w:rPr>
        <w:t xml:space="preserve"> АД является основным ме</w:t>
      </w:r>
      <w:r>
        <w:rPr>
          <w:rFonts w:ascii="Times New Roman" w:hAnsi="Times New Roman" w:cs="Times New Roman"/>
          <w:sz w:val="28"/>
          <w:szCs w:val="28"/>
        </w:rPr>
        <w:t xml:space="preserve">тодом определения величины 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17F47">
        <w:rPr>
          <w:rFonts w:ascii="Times New Roman" w:hAnsi="Times New Roman" w:cs="Times New Roman"/>
          <w:sz w:val="28"/>
          <w:szCs w:val="28"/>
        </w:rPr>
        <w:t>стратификации</w:t>
      </w:r>
      <w:proofErr w:type="spellEnd"/>
      <w:r w:rsidRPr="00D17F47">
        <w:rPr>
          <w:rFonts w:ascii="Times New Roman" w:hAnsi="Times New Roman" w:cs="Times New Roman"/>
          <w:sz w:val="28"/>
          <w:szCs w:val="28"/>
        </w:rPr>
        <w:t xml:space="preserve"> риска, но СМАД имеет ряд определенных преимуществ:</w:t>
      </w:r>
    </w:p>
    <w:p w:rsidR="00D17F47" w:rsidRPr="00D17F47" w:rsidRDefault="00D17F4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• предоставляет информацию об уровне АД в течен</w:t>
      </w:r>
      <w:r>
        <w:rPr>
          <w:rFonts w:ascii="Times New Roman" w:hAnsi="Times New Roman" w:cs="Times New Roman"/>
          <w:sz w:val="28"/>
          <w:szCs w:val="28"/>
        </w:rPr>
        <w:t xml:space="preserve">ие «повседневной» активности (в </w:t>
      </w:r>
      <w:r w:rsidRPr="00D17F47">
        <w:rPr>
          <w:rFonts w:ascii="Times New Roman" w:hAnsi="Times New Roman" w:cs="Times New Roman"/>
          <w:sz w:val="28"/>
          <w:szCs w:val="28"/>
        </w:rPr>
        <w:t>реальной жизни пациента)</w:t>
      </w:r>
    </w:p>
    <w:p w:rsidR="00D17F47" w:rsidRPr="00D17F47" w:rsidRDefault="00D17F4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• предоставляет информацию об уровне АД в течение ночи</w:t>
      </w:r>
    </w:p>
    <w:p w:rsidR="00D17F47" w:rsidRPr="00D17F47" w:rsidRDefault="00D17F4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• позволяет уточнить прогноз ССО</w:t>
      </w:r>
    </w:p>
    <w:p w:rsidR="00D17F47" w:rsidRPr="00D17F47" w:rsidRDefault="00D17F4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• более тесно связан с поражением орга</w:t>
      </w:r>
      <w:r>
        <w:rPr>
          <w:rFonts w:ascii="Times New Roman" w:hAnsi="Times New Roman" w:cs="Times New Roman"/>
          <w:sz w:val="28"/>
          <w:szCs w:val="28"/>
        </w:rPr>
        <w:t xml:space="preserve">нов-мишеней,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47">
        <w:rPr>
          <w:rFonts w:ascii="Times New Roman" w:hAnsi="Times New Roman" w:cs="Times New Roman"/>
          <w:sz w:val="28"/>
          <w:szCs w:val="28"/>
        </w:rPr>
        <w:t>АД</w:t>
      </w:r>
    </w:p>
    <w:p w:rsidR="00D17F47" w:rsidRPr="00D17F47" w:rsidRDefault="00D17F4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 xml:space="preserve">• более точно оценивает </w:t>
      </w:r>
      <w:proofErr w:type="spellStart"/>
      <w:r w:rsidRPr="00D17F47">
        <w:rPr>
          <w:rFonts w:ascii="Times New Roman" w:hAnsi="Times New Roman" w:cs="Times New Roman"/>
          <w:sz w:val="28"/>
          <w:szCs w:val="28"/>
        </w:rPr>
        <w:t>антигипертензивный</w:t>
      </w:r>
      <w:proofErr w:type="spellEnd"/>
      <w:r w:rsidRPr="00D17F47">
        <w:rPr>
          <w:rFonts w:ascii="Times New Roman" w:hAnsi="Times New Roman" w:cs="Times New Roman"/>
          <w:sz w:val="28"/>
          <w:szCs w:val="28"/>
        </w:rPr>
        <w:t xml:space="preserve"> эффект терапии.</w:t>
      </w:r>
    </w:p>
    <w:p w:rsidR="00E00407" w:rsidRPr="00E00407" w:rsidRDefault="00D17F47" w:rsidP="005221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Только метод СМАД позволяет опре</w:t>
      </w:r>
      <w:r>
        <w:rPr>
          <w:rFonts w:ascii="Times New Roman" w:hAnsi="Times New Roman" w:cs="Times New Roman"/>
          <w:sz w:val="28"/>
          <w:szCs w:val="28"/>
        </w:rPr>
        <w:t xml:space="preserve">делить суточный ритм АД, ночную </w:t>
      </w:r>
      <w:r w:rsidRPr="00D17F47">
        <w:rPr>
          <w:rFonts w:ascii="Times New Roman" w:hAnsi="Times New Roman" w:cs="Times New Roman"/>
          <w:sz w:val="28"/>
          <w:szCs w:val="28"/>
        </w:rPr>
        <w:t>гипотензию или гипертензию, динамику АД в ранние утренние часы, равномерность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47">
        <w:rPr>
          <w:rFonts w:ascii="Times New Roman" w:hAnsi="Times New Roman" w:cs="Times New Roman"/>
          <w:sz w:val="28"/>
          <w:szCs w:val="28"/>
        </w:rPr>
        <w:t xml:space="preserve">достаточность </w:t>
      </w:r>
      <w:proofErr w:type="spellStart"/>
      <w:r w:rsidRPr="00D17F47">
        <w:rPr>
          <w:rFonts w:ascii="Times New Roman" w:hAnsi="Times New Roman" w:cs="Times New Roman"/>
          <w:sz w:val="28"/>
          <w:szCs w:val="28"/>
        </w:rPr>
        <w:t>антигипе</w:t>
      </w:r>
      <w:r>
        <w:rPr>
          <w:rFonts w:ascii="Times New Roman" w:hAnsi="Times New Roman" w:cs="Times New Roman"/>
          <w:sz w:val="28"/>
          <w:szCs w:val="28"/>
        </w:rPr>
        <w:t>ртензивного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эффекта препаратов. </w:t>
      </w:r>
      <w:r w:rsidR="00E00407" w:rsidRPr="00E00407">
        <w:rPr>
          <w:rFonts w:ascii="Times New Roman" w:hAnsi="Times New Roman" w:cs="Times New Roman"/>
          <w:sz w:val="28"/>
          <w:szCs w:val="28"/>
        </w:rPr>
        <w:t xml:space="preserve">При проведении СМАД установлено, что средние значения ИВГ для САД и ДАД находятся на уровне, близком к </w:t>
      </w:r>
      <w:proofErr w:type="gramStart"/>
      <w:r w:rsidR="00E00407" w:rsidRPr="00E00407">
        <w:rPr>
          <w:rFonts w:ascii="Times New Roman" w:hAnsi="Times New Roman" w:cs="Times New Roman"/>
          <w:sz w:val="28"/>
          <w:szCs w:val="28"/>
        </w:rPr>
        <w:t>критическому</w:t>
      </w:r>
      <w:proofErr w:type="gramEnd"/>
      <w:r w:rsidR="00E00407" w:rsidRPr="00E00407">
        <w:rPr>
          <w:rFonts w:ascii="Times New Roman" w:hAnsi="Times New Roman" w:cs="Times New Roman"/>
          <w:sz w:val="28"/>
          <w:szCs w:val="28"/>
        </w:rPr>
        <w:t>. Критические значения свыше 50% отмечаются примерно у трети пациентов. Результаты большей части исследуемых указывают на лабильность артериальной гипертензии.</w:t>
      </w:r>
    </w:p>
    <w:p w:rsidR="00E00407" w:rsidRDefault="00E00407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07">
        <w:rPr>
          <w:rFonts w:ascii="Times New Roman" w:hAnsi="Times New Roman" w:cs="Times New Roman"/>
          <w:sz w:val="28"/>
          <w:szCs w:val="28"/>
        </w:rPr>
        <w:t>В структуре конечных диагнозов преобладала лабильная АГ, связанная с воздействием стрессовых факторов. Примерно трети исследуемых была поставлена сборная группа диагнозов, объединенных термином «стабильная» АГ. Части пациентов были поставлены диагнозы гипертензия «белого халата» и ВСД с симпатоадреналовыми пароксизмами.</w:t>
      </w:r>
    </w:p>
    <w:p w:rsidR="00604ACF" w:rsidRDefault="00850531" w:rsidP="005221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</w:t>
      </w:r>
    </w:p>
    <w:p w:rsidR="00A119F8" w:rsidRPr="00A119F8" w:rsidRDefault="00A119F8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 структуре исследуемых преобладали лица с СВД по </w:t>
      </w:r>
      <w:proofErr w:type="spellStart"/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симпатикотоническому</w:t>
      </w:r>
      <w:proofErr w:type="spellEnd"/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(33%) и смешанному (55%) типу, что указывает на высокую вероятность проявления АГ у детей с данными нарушениями вегетативной регуляции.</w:t>
      </w:r>
    </w:p>
    <w:p w:rsidR="00A119F8" w:rsidRPr="00A119F8" w:rsidRDefault="00A119F8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Большинство исследуемых (90%) имеют отягощенный генеалогический анамнез, указывающий на важную роль в проявлении АГ генетических факторов.</w:t>
      </w:r>
    </w:p>
    <w:p w:rsidR="00A32D03" w:rsidRDefault="00A119F8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Применение психоэмоционального нагрузочного теста позволило выявить избыточную </w:t>
      </w:r>
      <w:proofErr w:type="spellStart"/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стрессорную</w:t>
      </w:r>
      <w:proofErr w:type="spellEnd"/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реакцию у большинства исследуемых, проявляющуюся в повышении АД и ЧСС </w:t>
      </w:r>
      <w:r w:rsidR="00A32D03" w:rsidRPr="00A32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этом разница между результатами, проявляющаяся в повышении АД и ЧСС статистически значима (для повышения уровня САД t-критерий -9,13 при p&lt;0,05; для повышения уровня ЧСС t-критерий -7,80 при p&lt;0,05)</w:t>
      </w:r>
      <w:r w:rsidR="00A32D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A119F8" w:rsidRDefault="00A32D03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Проба показала высокую эффективность 63%, что говорит о возможности ее применения в качестве дополнительного метода к уже известным пробам, но для более точной ее оценки необходимы дополнительные исследования с привлечением группы контроля и </w:t>
      </w:r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стандартизация пробы.</w:t>
      </w:r>
    </w:p>
    <w:p w:rsidR="00E10BE1" w:rsidRPr="00A119F8" w:rsidRDefault="00E10BE1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Проба подтвердила влияние психоэмоциональной нагрузки, эмоциональной лабильности подростков на регуляцию АД, что может служить поводом для обоснования рекомендаций по образу жизни и медикаментозной и психотерапевтической коррекции, особенно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лабильной АГ, что позволит предотвратить ее дальнейшую трансформацию в стабильную АГ. Результаты данной пробы необходимо показывать подросткам и их родителям для достижения высокого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комплайнса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рекомендациям врача, особенно это касается образа жизни.</w:t>
      </w:r>
    </w:p>
    <w:p w:rsidR="00A119F8" w:rsidRPr="00A119F8" w:rsidRDefault="00A32D03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Наиболее часто выявляемая форма АГ у детей и подростков – лабильная, связанная со </w:t>
      </w:r>
      <w:proofErr w:type="spellStart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стрессорным</w:t>
      </w:r>
      <w:proofErr w:type="spellEnd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воздействием факторов окружающей среды.</w:t>
      </w:r>
    </w:p>
    <w:p w:rsidR="00A119F8" w:rsidRDefault="00A32D03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Отсутствие ишемических изменений по данным ЭКГ во время проведения психоэмоционального теста указывает на психосоматический характер жалоб на боли в сердце.</w:t>
      </w:r>
    </w:p>
    <w:p w:rsidR="00850531" w:rsidRPr="00A119F8" w:rsidRDefault="00850531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Как известно,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8505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ервичная профилактика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АГ </w:t>
      </w:r>
      <w:r w:rsidRPr="00850531">
        <w:rPr>
          <w:rFonts w:ascii="Times New Roman" w:eastAsia="Times New Roman" w:hAnsi="Times New Roman" w:cs="Times New Roman"/>
          <w:color w:val="auto"/>
          <w:sz w:val="28"/>
          <w:szCs w:val="28"/>
        </w:rPr>
        <w:t>начинается с выявления во время плановых профилактических медицинских осмотров детей и подростков факторов риска АГ и ССЗ, таких как отягощенная наследственность (наличие АГ, ранних сердечно-сосудистых заболеваний и сахарного диабета у родителей), избыточная масса тела или ожирение, низкая физическая активность (физическая активность ограничена занятиями физкультурой в рамках школьной программы).</w:t>
      </w:r>
      <w:proofErr w:type="gramEnd"/>
      <w:r w:rsidRPr="008505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5053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приказом Министерства здравоохранения РФ от 03.07.2000 №241 АД должно измеряться (трёхкратно на каждом визите) в возрасте 3 лет (перед поступлением в ясли-сад, детский сад), за 1 год до школы (в 5-6 лет), непосредственно перед школой (6-7 лет), после окончания 1-го класса (7-8 лет), в возрасте 10, 12, 14-15, 16 и 17 лет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Данная проба и анализ результатов проводится в течение 3-5 минут, что можно рекомендовать к включению в скрининг-программу диагностики АГ у детей.</w:t>
      </w:r>
    </w:p>
    <w:p w:rsidR="005221E9" w:rsidRDefault="00A119F8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 </w:t>
      </w:r>
    </w:p>
    <w:p w:rsidR="00A119F8" w:rsidRDefault="005221E9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221E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Выводы</w:t>
      </w:r>
    </w:p>
    <w:p w:rsidR="005221E9" w:rsidRPr="005221E9" w:rsidRDefault="005221E9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21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Полученные данные позволяют предварительно дать хорошую оценку эффективности психоэмоционального нагрузочного теста в диагностике АГ у детей и подростков, и после сравнительного анализа результатов с группой контроля рекомендовать к использованию в клинической практике.</w:t>
      </w:r>
    </w:p>
    <w:p w:rsidR="005221E9" w:rsidRPr="00A119F8" w:rsidRDefault="005221E9" w:rsidP="005221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637C" w:rsidRDefault="0061713E" w:rsidP="00A5637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400F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5637C" w:rsidRDefault="005221E9" w:rsidP="00A5637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A56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Аронов Д.М., Лупанов В.П. Функциональные пробы в кардиологии. – М.: </w:t>
      </w:r>
      <w:proofErr w:type="spellStart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Медпресс-информ</w:t>
      </w:r>
      <w:proofErr w:type="spellEnd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2002. – 295 с.</w:t>
      </w:r>
    </w:p>
    <w:p w:rsidR="00A119F8" w:rsidRPr="00A119F8" w:rsidRDefault="005221E9" w:rsidP="00A5637C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A56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Еремина, Н. М. Вегетативные параметры гомеостаза у практически </w:t>
      </w:r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здоровых молодых людей по показателям вариабельности сердечного ритма и артериального давления при психоэмоциональном тестировании / Н. М. Еремина, Р. В. </w:t>
      </w:r>
      <w:proofErr w:type="spellStart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Хурса</w:t>
      </w:r>
      <w:proofErr w:type="spellEnd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/ / Военная медицина. 2011. №2. С. 91–94.</w:t>
      </w:r>
    </w:p>
    <w:p w:rsidR="00606440" w:rsidRDefault="00606440" w:rsidP="005221E9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A563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</w:t>
      </w:r>
      <w:r w:rsidRPr="0060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М. </w:t>
      </w:r>
      <w:proofErr w:type="spellStart"/>
      <w:r w:rsidRPr="0060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Аллахвердов</w:t>
      </w:r>
      <w:proofErr w:type="spellEnd"/>
      <w:r w:rsidRPr="0060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М. В. </w:t>
      </w:r>
      <w:proofErr w:type="spellStart"/>
      <w:r w:rsidRPr="0060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Аллахвердов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Ф</w:t>
      </w:r>
      <w:r w:rsidRPr="0060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еномен струпа: интерференция как логический парадокс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– М.: </w:t>
      </w:r>
      <w:r w:rsidRPr="0060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Вестник СПбГУ. Сер. 16. 2014. </w:t>
      </w:r>
      <w:proofErr w:type="spellStart"/>
      <w:r w:rsidRPr="0060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</w:t>
      </w:r>
      <w:proofErr w:type="spellEnd"/>
      <w:r w:rsidRPr="0060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4</w:t>
      </w:r>
    </w:p>
    <w:p w:rsidR="00A119F8" w:rsidRPr="00606440" w:rsidRDefault="00606440" w:rsidP="00A5637C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440">
        <w:rPr>
          <w:rFonts w:ascii="Times New Roman" w:hAnsi="Times New Roman" w:cs="Times New Roman"/>
          <w:sz w:val="28"/>
          <w:szCs w:val="28"/>
        </w:rPr>
        <w:t>4.</w:t>
      </w:r>
      <w:r w:rsidR="00A5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9F8" w:rsidRPr="00606440">
        <w:rPr>
          <w:rFonts w:ascii="Times New Roman" w:hAnsi="Times New Roman" w:cs="Times New Roman"/>
          <w:sz w:val="28"/>
          <w:szCs w:val="28"/>
        </w:rPr>
        <w:t>Клендар</w:t>
      </w:r>
      <w:proofErr w:type="spellEnd"/>
      <w:r w:rsidR="00A119F8" w:rsidRPr="00606440">
        <w:rPr>
          <w:rFonts w:ascii="Times New Roman" w:hAnsi="Times New Roman" w:cs="Times New Roman"/>
          <w:sz w:val="28"/>
          <w:szCs w:val="28"/>
        </w:rPr>
        <w:t xml:space="preserve">, В.А. Исследование функционального состояния нервной </w:t>
      </w:r>
      <w:r w:rsidR="005221E9">
        <w:rPr>
          <w:rFonts w:ascii="Times New Roman" w:hAnsi="Times New Roman" w:cs="Times New Roman"/>
          <w:sz w:val="28"/>
          <w:szCs w:val="28"/>
        </w:rPr>
        <w:t xml:space="preserve">    </w:t>
      </w:r>
      <w:r w:rsidR="00A119F8" w:rsidRPr="00606440">
        <w:rPr>
          <w:rFonts w:ascii="Times New Roman" w:hAnsi="Times New Roman" w:cs="Times New Roman"/>
          <w:sz w:val="28"/>
          <w:szCs w:val="28"/>
        </w:rPr>
        <w:t xml:space="preserve">регуляции у детей с НОДА, методом вариабельности сердечного ритма / В.А. </w:t>
      </w:r>
      <w:proofErr w:type="spellStart"/>
      <w:r w:rsidR="00A119F8" w:rsidRPr="00606440">
        <w:rPr>
          <w:rFonts w:ascii="Times New Roman" w:hAnsi="Times New Roman" w:cs="Times New Roman"/>
          <w:sz w:val="28"/>
          <w:szCs w:val="28"/>
        </w:rPr>
        <w:t>Клендар</w:t>
      </w:r>
      <w:proofErr w:type="spellEnd"/>
      <w:r w:rsidR="00A119F8" w:rsidRPr="00606440">
        <w:rPr>
          <w:rFonts w:ascii="Times New Roman" w:hAnsi="Times New Roman" w:cs="Times New Roman"/>
          <w:sz w:val="28"/>
          <w:szCs w:val="28"/>
        </w:rPr>
        <w:t>. Н.А. Гросс // Вестник спортивной науки. - 2015. - № 5. - С. 40-47. </w:t>
      </w:r>
    </w:p>
    <w:p w:rsidR="006E3218" w:rsidRDefault="00A5637C" w:rsidP="00A5637C">
      <w:pPr>
        <w:spacing w:line="276" w:lineRule="auto"/>
        <w:ind w:left="709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064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Шабалин А.В., Гуляева Е.Н., </w:t>
      </w:r>
      <w:proofErr w:type="spellStart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Крваленко</w:t>
      </w:r>
      <w:proofErr w:type="spellEnd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О.В., </w:t>
      </w:r>
      <w:proofErr w:type="spellStart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Веркошанская</w:t>
      </w:r>
      <w:proofErr w:type="spellEnd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Э.М., </w:t>
      </w:r>
      <w:proofErr w:type="spellStart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Торочкина</w:t>
      </w:r>
      <w:proofErr w:type="spellEnd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Е.Е., </w:t>
      </w:r>
      <w:proofErr w:type="spellStart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Криковцов</w:t>
      </w:r>
      <w:proofErr w:type="spellEnd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А.С. Информативность психоэмоциональной нагрузочной пробы ’Математический счет” и ручной дозированной изометрической нагрузки и </w:t>
      </w:r>
      <w:proofErr w:type="spellStart"/>
      <w:proofErr w:type="gramStart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spellEnd"/>
      <w:proofErr w:type="gramEnd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диагностике стресс-зависимости у больных </w:t>
      </w:r>
      <w:proofErr w:type="spellStart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эссенциальной</w:t>
      </w:r>
      <w:proofErr w:type="spellEnd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артериальной гипертензией. // Текст научной статьи по сп</w:t>
      </w:r>
      <w:bookmarkStart w:id="0" w:name="_GoBack"/>
      <w:bookmarkEnd w:id="0"/>
      <w:r w:rsidR="00A119F8" w:rsidRPr="00A119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ециальности «Медицина и здравоохранение». - 2003.</w:t>
      </w:r>
    </w:p>
    <w:p w:rsidR="00D17F47" w:rsidRDefault="00D17F47" w:rsidP="00A5637C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Клинические рекомендации Союза педиатров России по артериальной гипертензии у детей, 2016г.</w:t>
      </w:r>
    </w:p>
    <w:p w:rsidR="00D17F47" w:rsidRDefault="00D17F47" w:rsidP="00D17F47">
      <w:pPr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6440" w:rsidRPr="00A119F8" w:rsidRDefault="00606440" w:rsidP="00606440">
      <w:pPr>
        <w:ind w:left="567"/>
        <w:jc w:val="both"/>
        <w:rPr>
          <w:sz w:val="28"/>
          <w:szCs w:val="28"/>
        </w:rPr>
      </w:pPr>
    </w:p>
    <w:sectPr w:rsidR="00606440" w:rsidRPr="00A119F8" w:rsidSect="00F71E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B77"/>
    <w:multiLevelType w:val="hybridMultilevel"/>
    <w:tmpl w:val="6D5834A4"/>
    <w:lvl w:ilvl="0" w:tplc="CF06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8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6F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24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6B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D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C4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C4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7A3F9C"/>
    <w:multiLevelType w:val="hybridMultilevel"/>
    <w:tmpl w:val="4BB49FE0"/>
    <w:lvl w:ilvl="0" w:tplc="31CE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23733"/>
    <w:multiLevelType w:val="hybridMultilevel"/>
    <w:tmpl w:val="2B92E350"/>
    <w:lvl w:ilvl="0" w:tplc="1D9EBDDE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460FA5"/>
    <w:multiLevelType w:val="hybridMultilevel"/>
    <w:tmpl w:val="DF0A40F2"/>
    <w:lvl w:ilvl="0" w:tplc="030E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D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6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C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4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4C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48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4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EE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2F4B7E"/>
    <w:multiLevelType w:val="hybridMultilevel"/>
    <w:tmpl w:val="1C0C8036"/>
    <w:lvl w:ilvl="0" w:tplc="9D66E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20484"/>
    <w:multiLevelType w:val="hybridMultilevel"/>
    <w:tmpl w:val="1C0C8036"/>
    <w:lvl w:ilvl="0" w:tplc="9D66E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0A74A7"/>
    <w:multiLevelType w:val="hybridMultilevel"/>
    <w:tmpl w:val="E9D0864A"/>
    <w:lvl w:ilvl="0" w:tplc="462A4E08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223C4"/>
    <w:multiLevelType w:val="hybridMultilevel"/>
    <w:tmpl w:val="A0B60202"/>
    <w:lvl w:ilvl="0" w:tplc="4C0AA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CC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6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4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82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A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EA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2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2676F2"/>
    <w:multiLevelType w:val="hybridMultilevel"/>
    <w:tmpl w:val="DCD21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E06222"/>
    <w:multiLevelType w:val="hybridMultilevel"/>
    <w:tmpl w:val="EEBA04DC"/>
    <w:lvl w:ilvl="0" w:tplc="E4C27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4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C7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4C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AC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21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A3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24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2B5654"/>
    <w:multiLevelType w:val="hybridMultilevel"/>
    <w:tmpl w:val="143223C4"/>
    <w:lvl w:ilvl="0" w:tplc="59A8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2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07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0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C2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8C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49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0E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55"/>
    <w:rsid w:val="00006CAA"/>
    <w:rsid w:val="00086E10"/>
    <w:rsid w:val="000B51FE"/>
    <w:rsid w:val="001028BC"/>
    <w:rsid w:val="00164629"/>
    <w:rsid w:val="001867EB"/>
    <w:rsid w:val="001F51F9"/>
    <w:rsid w:val="00202AB0"/>
    <w:rsid w:val="002134F7"/>
    <w:rsid w:val="00235BAD"/>
    <w:rsid w:val="002E5510"/>
    <w:rsid w:val="0032535C"/>
    <w:rsid w:val="00336327"/>
    <w:rsid w:val="003373C5"/>
    <w:rsid w:val="003A6A0C"/>
    <w:rsid w:val="003D13A7"/>
    <w:rsid w:val="00496BDE"/>
    <w:rsid w:val="004B5E1E"/>
    <w:rsid w:val="004E2F98"/>
    <w:rsid w:val="005221E9"/>
    <w:rsid w:val="005C5E7E"/>
    <w:rsid w:val="005F1A75"/>
    <w:rsid w:val="005F35EC"/>
    <w:rsid w:val="00604ACF"/>
    <w:rsid w:val="00606440"/>
    <w:rsid w:val="0061713E"/>
    <w:rsid w:val="006E3218"/>
    <w:rsid w:val="00723CDF"/>
    <w:rsid w:val="0077668D"/>
    <w:rsid w:val="00834EB1"/>
    <w:rsid w:val="00843CB5"/>
    <w:rsid w:val="00850531"/>
    <w:rsid w:val="008611E9"/>
    <w:rsid w:val="008C0C4E"/>
    <w:rsid w:val="009663C6"/>
    <w:rsid w:val="00967753"/>
    <w:rsid w:val="009C04F7"/>
    <w:rsid w:val="009D45C6"/>
    <w:rsid w:val="00A119F8"/>
    <w:rsid w:val="00A32703"/>
    <w:rsid w:val="00A32D03"/>
    <w:rsid w:val="00A400F1"/>
    <w:rsid w:val="00A5637C"/>
    <w:rsid w:val="00A924CD"/>
    <w:rsid w:val="00AF144D"/>
    <w:rsid w:val="00B1447C"/>
    <w:rsid w:val="00BE25F1"/>
    <w:rsid w:val="00C55006"/>
    <w:rsid w:val="00CD1699"/>
    <w:rsid w:val="00CF78F7"/>
    <w:rsid w:val="00D17F47"/>
    <w:rsid w:val="00D21C22"/>
    <w:rsid w:val="00D25D57"/>
    <w:rsid w:val="00D469F2"/>
    <w:rsid w:val="00DA363F"/>
    <w:rsid w:val="00DC2F67"/>
    <w:rsid w:val="00DD3A6B"/>
    <w:rsid w:val="00E00407"/>
    <w:rsid w:val="00E10BE1"/>
    <w:rsid w:val="00E7383A"/>
    <w:rsid w:val="00EA5627"/>
    <w:rsid w:val="00EC3155"/>
    <w:rsid w:val="00EE12DB"/>
    <w:rsid w:val="00EE4AE3"/>
    <w:rsid w:val="00F2387B"/>
    <w:rsid w:val="00F71EEA"/>
    <w:rsid w:val="00FC5435"/>
    <w:rsid w:val="00FF555E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1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3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FF7E1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E1A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character" w:styleId="a5">
    <w:name w:val="Hyperlink"/>
    <w:basedOn w:val="a0"/>
    <w:uiPriority w:val="99"/>
    <w:unhideWhenUsed/>
    <w:rsid w:val="00A400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04F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B144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B144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DA3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1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3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FF7E1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E1A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character" w:styleId="a5">
    <w:name w:val="Hyperlink"/>
    <w:basedOn w:val="a0"/>
    <w:uiPriority w:val="99"/>
    <w:unhideWhenUsed/>
    <w:rsid w:val="00A400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04F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unhideWhenUsed/>
    <w:rsid w:val="00B144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 Spacing"/>
    <w:uiPriority w:val="1"/>
    <w:qFormat/>
    <w:rsid w:val="00B144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DA3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4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4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69985555223193E-2"/>
          <c:y val="8.8050314465408799E-2"/>
          <c:w val="0.90123108640511873"/>
          <c:h val="0.760698591921292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Положительная проба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  <a:p>
                    <a:r>
                      <a:rPr lang="en-US"/>
                      <a:t>(63,33%)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  <a:p>
                    <a:r>
                      <a:rPr lang="en-US"/>
                      <a:t>(56,66%)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АД</c:v>
                </c:pt>
                <c:pt idx="1">
                  <c:v>ЧСС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Отрицательная проба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  <a:p>
                    <a:r>
                      <a:rPr lang="en-US"/>
                      <a:t>(36,67%)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  <a:p>
                    <a:r>
                      <a:rPr lang="en-US"/>
                      <a:t>(43,34%)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АД</c:v>
                </c:pt>
                <c:pt idx="1">
                  <c:v>ЧСС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4099328"/>
        <c:axId val="114100864"/>
      </c:barChart>
      <c:catAx>
        <c:axId val="11409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00864"/>
        <c:crosses val="autoZero"/>
        <c:auto val="1"/>
        <c:lblAlgn val="ctr"/>
        <c:lblOffset val="100"/>
        <c:noMultiLvlLbl val="0"/>
      </c:catAx>
      <c:valAx>
        <c:axId val="114100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99328"/>
        <c:crosses val="autoZero"/>
        <c:crossBetween val="between"/>
      </c:valAx>
      <c:spPr>
        <a:pattFill prst="ltDnDiag">
          <a:fgClr>
            <a:srgbClr val="D9D9D9"/>
          </a:fgClr>
          <a:bgClr>
            <a:srgbClr val="FFFFFF"/>
          </a:bgClr>
        </a:pattFill>
        <a:ln w="25396">
          <a:noFill/>
        </a:ln>
      </c:spPr>
    </c:plotArea>
    <c:legend>
      <c:legendPos val="b"/>
      <c:overlay val="0"/>
      <c:spPr>
        <a:noFill/>
        <a:ln w="2539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3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6</cp:revision>
  <dcterms:created xsi:type="dcterms:W3CDTF">2019-02-25T18:41:00Z</dcterms:created>
  <dcterms:modified xsi:type="dcterms:W3CDTF">2019-04-21T14:03:00Z</dcterms:modified>
</cp:coreProperties>
</file>