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DF" w:rsidRDefault="006357DF" w:rsidP="00915CD9">
      <w:pPr>
        <w:shd w:val="clear" w:color="auto" w:fill="FFFFFF"/>
        <w:jc w:val="center"/>
        <w:rPr>
          <w:b/>
        </w:rPr>
      </w:pPr>
      <w:r w:rsidRPr="006357DF">
        <w:rPr>
          <w:b/>
          <w:shd w:val="clear" w:color="auto" w:fill="FFFFFF"/>
        </w:rPr>
        <w:t>АНАЛИЗ СОВРЕМЕННОГО СОСТОЯНИЯ СОТРУДНИЧЕСТВА РОССИЙСКИХ НЕФТЕГАЗОВЫХ КОМПАНИЙ С ИНОСТРАННЫМИ ПАРТН</w:t>
      </w:r>
      <w:r>
        <w:rPr>
          <w:b/>
          <w:shd w:val="clear" w:color="auto" w:fill="FFFFFF"/>
        </w:rPr>
        <w:t>Е</w:t>
      </w:r>
      <w:r w:rsidRPr="006357DF">
        <w:rPr>
          <w:b/>
          <w:shd w:val="clear" w:color="auto" w:fill="FFFFFF"/>
        </w:rPr>
        <w:t>РАМИ</w:t>
      </w:r>
      <w:r w:rsidRPr="006357DF">
        <w:rPr>
          <w:b/>
        </w:rPr>
        <w:t xml:space="preserve"> </w:t>
      </w:r>
    </w:p>
    <w:p w:rsidR="00FF11E9" w:rsidRDefault="00CF3267" w:rsidP="00915CD9">
      <w:pPr>
        <w:shd w:val="clear" w:color="auto" w:fill="FFFFFF"/>
        <w:jc w:val="center"/>
        <w:rPr>
          <w:rFonts w:eastAsia="Times New Roman"/>
          <w:u w:val="single"/>
          <w:lang w:eastAsia="ru-RU"/>
        </w:rPr>
      </w:pPr>
      <w:r w:rsidRPr="007B6A0B">
        <w:rPr>
          <w:rFonts w:eastAsia="Times New Roman"/>
          <w:u w:val="single"/>
          <w:lang w:eastAsia="ru-RU"/>
        </w:rPr>
        <w:t>АФАНАСЬЕВ ОЛЕГ ВЛАДИМИРОВИЧ</w:t>
      </w:r>
    </w:p>
    <w:p w:rsidR="009D45CC" w:rsidRDefault="009D45CC" w:rsidP="00915CD9">
      <w:pPr>
        <w:shd w:val="clear" w:color="auto" w:fill="FFFFFF"/>
        <w:jc w:val="center"/>
        <w:rPr>
          <w:rFonts w:eastAsia="Times New Roman"/>
          <w:u w:val="single"/>
          <w:lang w:eastAsia="ru-RU"/>
        </w:rPr>
      </w:pPr>
    </w:p>
    <w:p w:rsidR="009D45CC" w:rsidRPr="009D45CC" w:rsidRDefault="009D45CC" w:rsidP="009D45CC">
      <w:pPr>
        <w:shd w:val="clear" w:color="auto" w:fill="FFFFFF"/>
        <w:ind w:firstLine="0"/>
        <w:rPr>
          <w:rFonts w:eastAsia="Times New Roman"/>
          <w:lang w:eastAsia="ru-RU"/>
        </w:rPr>
      </w:pPr>
      <w:r w:rsidRPr="009D45CC">
        <w:rPr>
          <w:rFonts w:eastAsia="Times New Roman"/>
          <w:lang w:eastAsia="ru-RU"/>
        </w:rPr>
        <w:t xml:space="preserve">Научный руководитель: канд., </w:t>
      </w:r>
      <w:proofErr w:type="spellStart"/>
      <w:r w:rsidRPr="009D45CC">
        <w:rPr>
          <w:rFonts w:eastAsia="Times New Roman"/>
          <w:lang w:eastAsia="ru-RU"/>
        </w:rPr>
        <w:t>пед</w:t>
      </w:r>
      <w:proofErr w:type="spellEnd"/>
      <w:r w:rsidRPr="009D45CC">
        <w:rPr>
          <w:rFonts w:eastAsia="Times New Roman"/>
          <w:lang w:eastAsia="ru-RU"/>
        </w:rPr>
        <w:t xml:space="preserve">. наук, доцент Махмудова </w:t>
      </w:r>
      <w:proofErr w:type="spellStart"/>
      <w:r w:rsidRPr="009D45CC">
        <w:rPr>
          <w:rFonts w:eastAsia="Times New Roman"/>
          <w:lang w:eastAsia="ru-RU"/>
        </w:rPr>
        <w:t>Мухаббат</w:t>
      </w:r>
      <w:proofErr w:type="spellEnd"/>
      <w:r w:rsidRPr="009D45CC">
        <w:rPr>
          <w:rFonts w:eastAsia="Times New Roman"/>
          <w:lang w:eastAsia="ru-RU"/>
        </w:rPr>
        <w:t xml:space="preserve"> </w:t>
      </w:r>
      <w:proofErr w:type="spellStart"/>
      <w:r w:rsidRPr="009D45CC">
        <w:rPr>
          <w:rFonts w:eastAsia="Times New Roman"/>
          <w:lang w:eastAsia="ru-RU"/>
        </w:rPr>
        <w:t>Мадиевна</w:t>
      </w:r>
      <w:proofErr w:type="spellEnd"/>
      <w:r w:rsidRPr="009D45CC">
        <w:rPr>
          <w:rFonts w:eastAsia="Times New Roman"/>
          <w:lang w:eastAsia="ru-RU"/>
        </w:rPr>
        <w:t xml:space="preserve"> </w:t>
      </w:r>
      <w:bookmarkStart w:id="0" w:name="_GoBack"/>
      <w:bookmarkEnd w:id="0"/>
    </w:p>
    <w:p w:rsidR="00FF11E9" w:rsidRPr="00552018" w:rsidRDefault="00CF3267" w:rsidP="00552018">
      <w:pPr>
        <w:shd w:val="clear" w:color="auto" w:fill="FFFFFF"/>
        <w:spacing w:line="240" w:lineRule="auto"/>
        <w:ind w:firstLine="0"/>
        <w:jc w:val="both"/>
        <w:rPr>
          <w:rFonts w:eastAsia="Times New Roman"/>
          <w:u w:val="single"/>
          <w:lang w:eastAsia="ru-RU"/>
        </w:rPr>
      </w:pPr>
      <w:r w:rsidRPr="00552018">
        <w:rPr>
          <w:rFonts w:eastAsia="Times New Roman"/>
          <w:u w:val="single"/>
          <w:lang w:eastAsia="ru-RU"/>
        </w:rPr>
        <w:t xml:space="preserve">Институт </w:t>
      </w:r>
      <w:r w:rsidR="00FF11E9" w:rsidRPr="00552018">
        <w:rPr>
          <w:rFonts w:eastAsia="Times New Roman"/>
          <w:u w:val="single"/>
          <w:lang w:eastAsia="ru-RU"/>
        </w:rPr>
        <w:t xml:space="preserve">сервиса и отраслевого управления, </w:t>
      </w:r>
      <w:r w:rsidRPr="00552018">
        <w:rPr>
          <w:rFonts w:eastAsia="Times New Roman"/>
          <w:u w:val="single"/>
          <w:lang w:eastAsia="ru-RU"/>
        </w:rPr>
        <w:t xml:space="preserve">ФГБОУ </w:t>
      </w:r>
      <w:proofErr w:type="gramStart"/>
      <w:r w:rsidRPr="00552018">
        <w:rPr>
          <w:rFonts w:eastAsia="Times New Roman"/>
          <w:u w:val="single"/>
          <w:lang w:eastAsia="ru-RU"/>
        </w:rPr>
        <w:t>ВО</w:t>
      </w:r>
      <w:proofErr w:type="gramEnd"/>
      <w:r w:rsidRPr="00552018">
        <w:rPr>
          <w:rFonts w:eastAsia="Times New Roman"/>
          <w:u w:val="single"/>
          <w:lang w:eastAsia="ru-RU"/>
        </w:rPr>
        <w:t xml:space="preserve"> </w:t>
      </w:r>
      <w:r w:rsidR="00FF11E9" w:rsidRPr="00552018">
        <w:rPr>
          <w:rFonts w:eastAsia="Times New Roman"/>
          <w:u w:val="single"/>
          <w:lang w:eastAsia="ru-RU"/>
        </w:rPr>
        <w:t>«</w:t>
      </w:r>
      <w:r w:rsidRPr="00552018">
        <w:rPr>
          <w:rFonts w:eastAsia="Times New Roman"/>
          <w:u w:val="single"/>
          <w:lang w:eastAsia="ru-RU"/>
        </w:rPr>
        <w:t xml:space="preserve">Тюменский </w:t>
      </w:r>
      <w:r w:rsidR="00FF11E9" w:rsidRPr="00552018">
        <w:rPr>
          <w:rFonts w:eastAsia="Times New Roman"/>
          <w:u w:val="single"/>
          <w:lang w:eastAsia="ru-RU"/>
        </w:rPr>
        <w:t xml:space="preserve">индустриальный университет», г. </w:t>
      </w:r>
      <w:r w:rsidRPr="00552018">
        <w:rPr>
          <w:rFonts w:eastAsia="Times New Roman"/>
          <w:u w:val="single"/>
          <w:lang w:eastAsia="ru-RU"/>
        </w:rPr>
        <w:t>Тюмень</w:t>
      </w:r>
      <w:r w:rsidR="00FF11E9" w:rsidRPr="00552018">
        <w:rPr>
          <w:rFonts w:eastAsia="Times New Roman"/>
          <w:u w:val="single"/>
          <w:lang w:eastAsia="ru-RU"/>
        </w:rPr>
        <w:t xml:space="preserve">, </w:t>
      </w:r>
      <w:r w:rsidRPr="00552018">
        <w:rPr>
          <w:rFonts w:eastAsia="Times New Roman"/>
          <w:u w:val="single"/>
          <w:lang w:eastAsia="ru-RU"/>
        </w:rPr>
        <w:t xml:space="preserve">Россия </w:t>
      </w:r>
    </w:p>
    <w:p w:rsidR="00CF3267" w:rsidRPr="00FF11E9" w:rsidRDefault="00CF3267" w:rsidP="00CF3267">
      <w:pPr>
        <w:shd w:val="clear" w:color="auto" w:fill="FFFFFF"/>
        <w:spacing w:line="240" w:lineRule="auto"/>
        <w:ind w:firstLine="0"/>
        <w:rPr>
          <w:rFonts w:eastAsia="Times New Roman"/>
          <w:lang w:eastAsia="ru-RU"/>
        </w:rPr>
      </w:pPr>
    </w:p>
    <w:p w:rsidR="00552018" w:rsidRDefault="00552018" w:rsidP="00F7037C">
      <w:pPr>
        <w:pStyle w:val="a7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B0A5C">
        <w:rPr>
          <w:b/>
          <w:sz w:val="28"/>
          <w:szCs w:val="28"/>
        </w:rPr>
        <w:t>Аннотация</w:t>
      </w:r>
    </w:p>
    <w:p w:rsidR="00ED41BC" w:rsidRPr="003E2358" w:rsidRDefault="002B0A5C" w:rsidP="00ED41BC">
      <w:pPr>
        <w:spacing w:line="324" w:lineRule="auto"/>
        <w:jc w:val="both"/>
        <w:rPr>
          <w:noProof/>
        </w:rPr>
      </w:pPr>
      <w:r w:rsidRPr="002A26FD">
        <w:t xml:space="preserve">Международное </w:t>
      </w:r>
      <w:r w:rsidR="00F7037C" w:rsidRPr="002A26FD">
        <w:t xml:space="preserve">инвестиционное сотрудничество российских нефтегазовых компаний, являясь базовым звеном российской экономики, и как одного из факторов инновационного развития страны. В условиях действия кризисных явлений в экономике РФ и действующих санкций западных стран, дальнейшее развитие российских нефтегазовых компаний является важнейшим фактором поступательного подъема национальной экономики. </w:t>
      </w:r>
      <w:r w:rsidR="00ED41BC" w:rsidRPr="00415521">
        <w:rPr>
          <w:rStyle w:val="aa"/>
        </w:rPr>
        <w:t>Объектом исследования</w:t>
      </w:r>
      <w:r w:rsidR="00ED41BC" w:rsidRPr="00415521">
        <w:t xml:space="preserve"> выступает </w:t>
      </w:r>
      <w:r w:rsidR="00ED41BC" w:rsidRPr="00415521">
        <w:rPr>
          <w:rFonts w:eastAsia="Calibri"/>
        </w:rPr>
        <w:t>процесс функционирования и развития</w:t>
      </w:r>
      <w:r w:rsidR="00ED41BC" w:rsidRPr="00415521">
        <w:t xml:space="preserve"> международного инвестиционного сотрудничества российских компаний в нефтегазовой сфере</w:t>
      </w:r>
      <w:r w:rsidR="00ED41BC">
        <w:t xml:space="preserve">, которые </w:t>
      </w:r>
      <w:r w:rsidR="00ED41BC" w:rsidRPr="005742DD">
        <w:t>являются одним из важнейших элементов экономической системы страны и налогоплательщиками бюджета Российской Федерации.</w:t>
      </w:r>
      <w:r w:rsidR="00ED41BC" w:rsidRPr="0091123D">
        <w:rPr>
          <w:color w:val="FF0000"/>
        </w:rPr>
        <w:t xml:space="preserve"> </w:t>
      </w:r>
      <w:r w:rsidR="00ED41BC" w:rsidRPr="003E2358">
        <w:rPr>
          <w:rStyle w:val="aa"/>
        </w:rPr>
        <w:t>Предметом научного исследования</w:t>
      </w:r>
      <w:r w:rsidR="00ED41BC" w:rsidRPr="003E2358">
        <w:t xml:space="preserve"> являются организационно-экономические </w:t>
      </w:r>
      <w:r w:rsidR="00ED41BC" w:rsidRPr="00ED41BC">
        <w:t>отношения, возникающие в процессе формирования</w:t>
      </w:r>
      <w:r w:rsidR="00ED41BC" w:rsidRPr="003E2358">
        <w:t xml:space="preserve"> </w:t>
      </w:r>
      <w:r w:rsidR="00ED41BC" w:rsidRPr="00ED41BC">
        <w:t>и развития</w:t>
      </w:r>
      <w:r w:rsidR="00ED41BC" w:rsidRPr="003E2358">
        <w:t xml:space="preserve"> международного инвестиционного сотрудничества российских компаний в нефтегазовой сфере.</w:t>
      </w:r>
    </w:p>
    <w:p w:rsidR="00ED41BC" w:rsidRDefault="00ED41BC" w:rsidP="00ED41BC">
      <w:pPr>
        <w:shd w:val="clear" w:color="auto" w:fill="FFFFFF"/>
        <w:spacing w:line="324" w:lineRule="auto"/>
        <w:jc w:val="both"/>
        <w:rPr>
          <w:rFonts w:eastAsia="Times New Roman"/>
          <w:bCs/>
          <w:lang w:eastAsia="ru-RU"/>
        </w:rPr>
      </w:pPr>
      <w:r w:rsidRPr="00FD5B1C">
        <w:rPr>
          <w:rStyle w:val="aa"/>
        </w:rPr>
        <w:t xml:space="preserve">Цель исследования </w:t>
      </w:r>
      <w:r w:rsidRPr="00FD5B1C">
        <w:rPr>
          <w:rFonts w:eastAsia="Times New Roman"/>
          <w:bCs/>
          <w:lang w:eastAsia="ru-RU"/>
        </w:rPr>
        <w:t xml:space="preserve">заключается в </w:t>
      </w:r>
      <w:r>
        <w:rPr>
          <w:rFonts w:eastAsia="Times New Roman"/>
          <w:bCs/>
          <w:lang w:eastAsia="ru-RU"/>
        </w:rPr>
        <w:t>исследовании современных тенденций международного инвестиционного сотрудничества российского нефтегазового сектора.</w:t>
      </w:r>
    </w:p>
    <w:p w:rsidR="00552018" w:rsidRDefault="00CC7E7E" w:rsidP="0079721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E7E">
        <w:rPr>
          <w:b/>
          <w:sz w:val="28"/>
          <w:szCs w:val="28"/>
        </w:rPr>
        <w:t>Ключевые слова</w:t>
      </w:r>
      <w:r>
        <w:rPr>
          <w:sz w:val="28"/>
          <w:szCs w:val="28"/>
        </w:rPr>
        <w:t xml:space="preserve">: инвестиции, нефтегазовый сектор, иностранный капитал, инвестиционная привлекательность, санкции, международное сотрудничество. </w:t>
      </w:r>
    </w:p>
    <w:p w:rsidR="00552018" w:rsidRDefault="009021E9" w:rsidP="0079721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1E9">
        <w:rPr>
          <w:b/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</w:p>
    <w:p w:rsidR="00797211" w:rsidRPr="00797211" w:rsidRDefault="00B34C47" w:rsidP="0079721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7211">
        <w:rPr>
          <w:sz w:val="28"/>
          <w:szCs w:val="28"/>
        </w:rPr>
        <w:lastRenderedPageBreak/>
        <w:t xml:space="preserve">Международное инвестиционное сотрудничество предполагает одну из форм взаимодействия с иностранными партнерами на основе объединения усилий финансового и материально-технического характера. Целями такого сотрудничества являются расширение базы развития и выпуска экспортной продукции, ее систематическое обновление на основе критериев конкурентоспособности и облегчение процессов ее реализации на внешнем рынке. Подобные задачи могут быть решены за счет организации, например, совместного производства. Совместное предпринимательство, возможно, прежде всего, на базе обмена технологиями, услугами с последующим распределением программ выпуска продукции, и ее реализации, а также в форме образования и функционирования концессий, консорциумов, акционерных компаний, международных неправительственных организаций и т.п. </w:t>
      </w:r>
    </w:p>
    <w:p w:rsidR="00845F00" w:rsidRPr="005416D1" w:rsidRDefault="00845F00" w:rsidP="0079721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97211">
        <w:rPr>
          <w:sz w:val="28"/>
          <w:szCs w:val="28"/>
          <w:shd w:val="clear" w:color="auto" w:fill="FFFFFF"/>
        </w:rPr>
        <w:t xml:space="preserve">Актуальность темы исследования обусловлена </w:t>
      </w:r>
      <w:r w:rsidRPr="00797211">
        <w:rPr>
          <w:sz w:val="28"/>
          <w:szCs w:val="28"/>
        </w:rPr>
        <w:t xml:space="preserve">неоспоримой значимостью всего нефтегазового комплекса для современной экономики нашей страны и немалыми перспективами российских нефтегазовых компаний на международной арене. Значительная доля поступлений в бюджеты всех уровней страны обеспечивается деятельностью по разработке месторождений полезных ископаемых, среди которых нефтяная промышленность занимает главенствующее положение. Мероприятия по увеличению объема добычи и уменьшения её себестоимости, как правило, увеличивают налогооблагаемую базу предприятия и, в конечном итоге, величину налоговых поступлений. Также </w:t>
      </w:r>
      <w:r w:rsidRPr="00797211">
        <w:rPr>
          <w:sz w:val="28"/>
          <w:szCs w:val="28"/>
          <w:shd w:val="clear" w:color="auto" w:fill="FFFFFF"/>
        </w:rPr>
        <w:t>тема исследования направлена на решение одной из важнейших экономических проблем отечественной нефтегазовой</w:t>
      </w:r>
      <w:r w:rsidRPr="005416D1">
        <w:rPr>
          <w:sz w:val="28"/>
          <w:szCs w:val="28"/>
          <w:shd w:val="clear" w:color="auto" w:fill="FFFFFF"/>
        </w:rPr>
        <w:t xml:space="preserve"> промышленности - </w:t>
      </w:r>
      <w:r w:rsidRPr="005416D1">
        <w:rPr>
          <w:iCs/>
          <w:sz w:val="28"/>
          <w:szCs w:val="28"/>
          <w:shd w:val="clear" w:color="auto" w:fill="FDFDFD"/>
        </w:rPr>
        <w:t>инновационное развитие отрасли и экономики страны.</w:t>
      </w:r>
    </w:p>
    <w:p w:rsidR="00ED41BC" w:rsidRPr="006D5D43" w:rsidRDefault="00ED41BC" w:rsidP="00ED41BC">
      <w:pPr>
        <w:autoSpaceDE w:val="0"/>
        <w:autoSpaceDN w:val="0"/>
        <w:adjustRightInd w:val="0"/>
        <w:jc w:val="both"/>
      </w:pPr>
      <w:r w:rsidRPr="006D5D43">
        <w:t xml:space="preserve">В зарубежной и отечественной научной литературе проблемы инвестиций и финансирования проектов широко рассматривались в работах: </w:t>
      </w:r>
      <w:proofErr w:type="gramStart"/>
      <w:r w:rsidRPr="006D5D43">
        <w:t xml:space="preserve">Андреева А.Ф., Воропаева В.И, Дунаева В.Ф., Зубаревой В.Д., В.Л, Конопляника А.А., Лившица В.Н, </w:t>
      </w:r>
      <w:proofErr w:type="spellStart"/>
      <w:r w:rsidRPr="006D5D43">
        <w:t>Мазура</w:t>
      </w:r>
      <w:proofErr w:type="spellEnd"/>
      <w:r w:rsidRPr="006D5D43">
        <w:t xml:space="preserve"> И.И., Миловидова К.Н, Перчика </w:t>
      </w:r>
      <w:r w:rsidRPr="006D5D43">
        <w:lastRenderedPageBreak/>
        <w:t>А.С., М.Л., Саркисова А.С., Телегиной Е.А., Шапиро В.Д., а также в работах зарубежных авторов</w:t>
      </w:r>
      <w:r>
        <w:t xml:space="preserve"> </w:t>
      </w:r>
      <w:r w:rsidRPr="006D5D43">
        <w:t xml:space="preserve">(М. </w:t>
      </w:r>
      <w:proofErr w:type="spellStart"/>
      <w:r w:rsidRPr="006D5D43">
        <w:t>Адельман</w:t>
      </w:r>
      <w:proofErr w:type="spellEnd"/>
      <w:r w:rsidRPr="006D5D43">
        <w:t xml:space="preserve">, Д. </w:t>
      </w:r>
      <w:proofErr w:type="spellStart"/>
      <w:r w:rsidRPr="006D5D43">
        <w:t>Бабюзье</w:t>
      </w:r>
      <w:proofErr w:type="spellEnd"/>
      <w:r w:rsidRPr="006D5D43">
        <w:t xml:space="preserve">, У. Бэрри, К.Ф. Грей, Д. </w:t>
      </w:r>
      <w:proofErr w:type="spellStart"/>
      <w:r w:rsidRPr="006D5D43">
        <w:t>Джонстон</w:t>
      </w:r>
      <w:proofErr w:type="spellEnd"/>
      <w:r w:rsidRPr="006D5D43">
        <w:t xml:space="preserve">, А. </w:t>
      </w:r>
      <w:proofErr w:type="spellStart"/>
      <w:r w:rsidRPr="006D5D43">
        <w:t>Кемп</w:t>
      </w:r>
      <w:proofErr w:type="spellEnd"/>
      <w:r w:rsidRPr="006D5D43">
        <w:t xml:space="preserve">, </w:t>
      </w:r>
      <w:proofErr w:type="spellStart"/>
      <w:r w:rsidRPr="006D5D43">
        <w:t>Дж</w:t>
      </w:r>
      <w:proofErr w:type="gramEnd"/>
      <w:r w:rsidRPr="006D5D43">
        <w:t>.</w:t>
      </w:r>
      <w:proofErr w:type="gramStart"/>
      <w:r w:rsidRPr="006D5D43">
        <w:t>Митчел</w:t>
      </w:r>
      <w:proofErr w:type="spellEnd"/>
      <w:r w:rsidRPr="006D5D43">
        <w:t xml:space="preserve">, П. </w:t>
      </w:r>
      <w:proofErr w:type="spellStart"/>
      <w:r w:rsidRPr="006D5D43">
        <w:t>Осмундсен</w:t>
      </w:r>
      <w:proofErr w:type="spellEnd"/>
      <w:r w:rsidRPr="006D5D43">
        <w:t xml:space="preserve">, Р. </w:t>
      </w:r>
      <w:proofErr w:type="spellStart"/>
      <w:r w:rsidRPr="006D5D43">
        <w:t>Пиндайк</w:t>
      </w:r>
      <w:proofErr w:type="spellEnd"/>
      <w:r w:rsidRPr="006D5D43">
        <w:t xml:space="preserve">, Р. </w:t>
      </w:r>
      <w:proofErr w:type="spellStart"/>
      <w:r w:rsidRPr="006D5D43">
        <w:t>Себа</w:t>
      </w:r>
      <w:proofErr w:type="spellEnd"/>
      <w:r w:rsidRPr="006D5D43">
        <w:t xml:space="preserve">, П. </w:t>
      </w:r>
      <w:proofErr w:type="spellStart"/>
      <w:r w:rsidRPr="006D5D43">
        <w:t>Стевенс</w:t>
      </w:r>
      <w:proofErr w:type="spellEnd"/>
      <w:r w:rsidRPr="006D5D43">
        <w:t xml:space="preserve">, Э.Р. </w:t>
      </w:r>
      <w:proofErr w:type="spellStart"/>
      <w:r w:rsidRPr="006D5D43">
        <w:t>Иескомб</w:t>
      </w:r>
      <w:proofErr w:type="spellEnd"/>
      <w:r w:rsidRPr="006D5D43">
        <w:t>).</w:t>
      </w:r>
      <w:proofErr w:type="gramEnd"/>
    </w:p>
    <w:p w:rsidR="00ED41BC" w:rsidRPr="00BC1DB3" w:rsidRDefault="00ED41BC" w:rsidP="00ED41BC">
      <w:pPr>
        <w:autoSpaceDE w:val="0"/>
        <w:autoSpaceDN w:val="0"/>
        <w:adjustRightInd w:val="0"/>
        <w:jc w:val="both"/>
      </w:pPr>
      <w:r w:rsidRPr="006D5D43">
        <w:t xml:space="preserve">Анализ публикаций свидетельствует о высоком уровне теоретико-методологических исследований в области проблем международного сотрудничества, их влияния на социально-экономическое развитие страны. Тем не менее, в условиях действия кризисных явлений в экономике </w:t>
      </w:r>
      <w:r w:rsidRPr="006D5D43">
        <w:rPr>
          <w:shd w:val="clear" w:color="auto" w:fill="FFFFFF"/>
        </w:rPr>
        <w:t xml:space="preserve">РФ, дальнейшее развитие нефтегазовой промышленности в количественном и качественном плане является важнейшим фактором поступательного подъема национальной экономики. </w:t>
      </w:r>
      <w:r w:rsidRPr="006D5D43">
        <w:t>Это обусловил выбор темы диссертационного исследования, постановку его цели и задач.</w:t>
      </w:r>
    </w:p>
    <w:p w:rsidR="00F7037C" w:rsidRDefault="00F7037C" w:rsidP="00845F00">
      <w:pPr>
        <w:shd w:val="clear" w:color="auto" w:fill="FFFFFF"/>
        <w:jc w:val="both"/>
      </w:pPr>
    </w:p>
    <w:p w:rsidR="00FA45C2" w:rsidRPr="00FA45C2" w:rsidRDefault="00FA45C2" w:rsidP="00845F00">
      <w:pPr>
        <w:shd w:val="clear" w:color="auto" w:fill="FFFFFF"/>
        <w:jc w:val="both"/>
        <w:rPr>
          <w:b/>
        </w:rPr>
      </w:pPr>
      <w:r w:rsidRPr="00FA45C2">
        <w:rPr>
          <w:b/>
        </w:rPr>
        <w:t>Методы и методология</w:t>
      </w:r>
    </w:p>
    <w:p w:rsidR="0008486B" w:rsidRPr="00FD5B1C" w:rsidRDefault="0008486B" w:rsidP="0008486B">
      <w:pPr>
        <w:jc w:val="both"/>
      </w:pPr>
      <w:r w:rsidRPr="00FD5B1C">
        <w:t xml:space="preserve">Для достижения цели и решения поставленных задач в работе использован комплекс теоретических и эмпирических методов, взаимно дополняющих друг друга. </w:t>
      </w:r>
      <w:r w:rsidR="00A023FF">
        <w:t xml:space="preserve">В частности, в исследовании </w:t>
      </w:r>
      <w:r w:rsidRPr="00FD5B1C">
        <w:rPr>
          <w:rFonts w:eastAsia="Calibri"/>
        </w:rPr>
        <w:t>развития</w:t>
      </w:r>
      <w:r w:rsidRPr="00FD5B1C">
        <w:t xml:space="preserve"> </w:t>
      </w:r>
      <w:r>
        <w:rPr>
          <w:shd w:val="clear" w:color="auto" w:fill="FFFFFF"/>
        </w:rPr>
        <w:t>международного инвестиционного сотрудничества российских компаний в нефтегазовой сфере</w:t>
      </w:r>
      <w:r w:rsidRPr="00FD5B1C">
        <w:t xml:space="preserve"> использовались методы системного подхода, историко-ретроспективный, категориальный, логико-структурный анализ и синтез. </w:t>
      </w:r>
      <w:r w:rsidR="00A023FF">
        <w:t xml:space="preserve">Кроме того, для </w:t>
      </w:r>
      <w:r w:rsidRPr="00FD5B1C">
        <w:t xml:space="preserve">оценки </w:t>
      </w:r>
      <w:r w:rsidRPr="00FD5B1C">
        <w:rPr>
          <w:rFonts w:eastAsia="Calibri"/>
        </w:rPr>
        <w:t>развития</w:t>
      </w:r>
      <w:r w:rsidRPr="00FD5B1C">
        <w:t xml:space="preserve"> </w:t>
      </w:r>
      <w:r>
        <w:rPr>
          <w:shd w:val="clear" w:color="auto" w:fill="FFFFFF"/>
        </w:rPr>
        <w:t>международного инвестиционного сотрудничества нефтегазово</w:t>
      </w:r>
      <w:r w:rsidR="00A023FF">
        <w:rPr>
          <w:shd w:val="clear" w:color="auto" w:fill="FFFFFF"/>
        </w:rPr>
        <w:t xml:space="preserve">го сектора </w:t>
      </w:r>
      <w:r w:rsidRPr="00FD5B1C">
        <w:t>применены общенаучные методы исследования, приемы экономического и статистического анализа, а также факторный и кластерный анализ, метод рейтинговых оценок.</w:t>
      </w:r>
    </w:p>
    <w:p w:rsidR="00FA45C2" w:rsidRDefault="00FA45C2" w:rsidP="00845F00">
      <w:pPr>
        <w:shd w:val="clear" w:color="auto" w:fill="FFFFFF"/>
        <w:jc w:val="both"/>
      </w:pPr>
    </w:p>
    <w:p w:rsidR="00A023FF" w:rsidRDefault="00A023FF" w:rsidP="00845F00">
      <w:pPr>
        <w:shd w:val="clear" w:color="auto" w:fill="FFFFFF"/>
        <w:jc w:val="both"/>
      </w:pPr>
      <w:r w:rsidRPr="00A023FF">
        <w:rPr>
          <w:b/>
        </w:rPr>
        <w:t>Результаты</w:t>
      </w:r>
      <w:r>
        <w:t xml:space="preserve"> </w:t>
      </w:r>
    </w:p>
    <w:p w:rsidR="00845F00" w:rsidRPr="00DD0319" w:rsidRDefault="00845F00" w:rsidP="00845F00">
      <w:pPr>
        <w:shd w:val="clear" w:color="auto" w:fill="FFFFFF"/>
        <w:jc w:val="both"/>
      </w:pPr>
      <w:r w:rsidRPr="00DD0319">
        <w:t xml:space="preserve">С целью </w:t>
      </w:r>
      <w:r w:rsidR="00A3270C">
        <w:t>анализа развития</w:t>
      </w:r>
      <w:r w:rsidRPr="00DD0319">
        <w:t xml:space="preserve"> международного инвестиционного сотрудничества российских компаний в нефтегазовой сфере в первую очередь необходимо изучить структуру и динамику инвестиционного  оборота, в том числе по направлениям денежных средств. Результаты анализа </w:t>
      </w:r>
      <w:r w:rsidRPr="00DD0319">
        <w:lastRenderedPageBreak/>
        <w:t>динамики основных показателей международного инвестиционного сотрудничества компаний ТЭК отражены в табл. 1.</w:t>
      </w:r>
    </w:p>
    <w:p w:rsidR="005A7143" w:rsidRDefault="00845F00" w:rsidP="005A714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D0319">
        <w:rPr>
          <w:rFonts w:ascii="Times New Roman" w:hAnsi="Times New Roman" w:cs="Times New Roman"/>
          <w:sz w:val="28"/>
          <w:szCs w:val="28"/>
        </w:rPr>
        <w:t>Таблица 1</w:t>
      </w:r>
    </w:p>
    <w:p w:rsidR="00845F00" w:rsidRPr="00DD0319" w:rsidRDefault="00845F00" w:rsidP="005A714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0319">
        <w:rPr>
          <w:rFonts w:ascii="Times New Roman" w:hAnsi="Times New Roman" w:cs="Times New Roman"/>
          <w:sz w:val="28"/>
          <w:szCs w:val="28"/>
        </w:rPr>
        <w:t>Экспорт и импорт инвестиций российских нефтегазовых компаний по группам стран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0319">
        <w:rPr>
          <w:rFonts w:ascii="Times New Roman" w:hAnsi="Times New Roman" w:cs="Times New Roman"/>
          <w:sz w:val="28"/>
          <w:szCs w:val="28"/>
        </w:rPr>
        <w:t>млн. долл. США</w:t>
      </w: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5402"/>
        <w:gridCol w:w="1012"/>
        <w:gridCol w:w="908"/>
        <w:gridCol w:w="1183"/>
        <w:gridCol w:w="876"/>
      </w:tblGrid>
      <w:tr w:rsidR="00845F00" w:rsidRPr="00E5385F" w:rsidTr="00B22541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845F00" w:rsidRPr="00E5385F" w:rsidTr="00B22541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млн. долл.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45F00" w:rsidRPr="00E5385F" w:rsidTr="00B22541">
        <w:trPr>
          <w:trHeight w:val="4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Импорт инвестиций в нефтегазовый комплекс - 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-3784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83,03</w:t>
            </w:r>
          </w:p>
        </w:tc>
      </w:tr>
      <w:tr w:rsidR="00845F00" w:rsidRPr="00E5385F" w:rsidTr="00B2254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F00" w:rsidRPr="00E5385F" w:rsidTr="00B2254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страны СНГ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32,03</w:t>
            </w:r>
          </w:p>
        </w:tc>
      </w:tr>
      <w:tr w:rsidR="00845F00" w:rsidRPr="00E5385F" w:rsidTr="00B22541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страны дальнего зарубежья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-3627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83,57</w:t>
            </w:r>
          </w:p>
        </w:tc>
      </w:tr>
      <w:tr w:rsidR="00845F00" w:rsidRPr="00E5385F" w:rsidTr="00B22541">
        <w:trPr>
          <w:trHeight w:val="3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Экспорт инвестиций из нефтегазового сектора - 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149,63</w:t>
            </w:r>
          </w:p>
        </w:tc>
      </w:tr>
      <w:tr w:rsidR="00845F00" w:rsidRPr="00E5385F" w:rsidTr="00B2254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F00" w:rsidRPr="00E5385F" w:rsidTr="00B2254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страны СНГ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104,90</w:t>
            </w:r>
          </w:p>
        </w:tc>
      </w:tr>
      <w:tr w:rsidR="00845F00" w:rsidRPr="00E5385F" w:rsidTr="00B22541">
        <w:trPr>
          <w:trHeight w:val="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страны дальнего зарубежья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157,56</w:t>
            </w:r>
          </w:p>
        </w:tc>
      </w:tr>
      <w:tr w:rsidR="00845F00" w:rsidRPr="00E5385F" w:rsidTr="00B22541">
        <w:trPr>
          <w:trHeight w:val="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Инвестиционный оборот - 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106,39</w:t>
            </w:r>
          </w:p>
        </w:tc>
      </w:tr>
      <w:tr w:rsidR="00845F00" w:rsidRPr="00E5385F" w:rsidTr="00B2254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F00" w:rsidRPr="00E5385F" w:rsidTr="00B2254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страны СНГ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96,68</w:t>
            </w:r>
          </w:p>
        </w:tc>
      </w:tr>
      <w:tr w:rsidR="00845F00" w:rsidRPr="00E5385F" w:rsidTr="00B2254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страны дальнего зарубежья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34572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107,01</w:t>
            </w:r>
          </w:p>
        </w:tc>
      </w:tr>
      <w:tr w:rsidR="00845F00" w:rsidRPr="00E5385F" w:rsidTr="00B22541">
        <w:trPr>
          <w:trHeight w:val="3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Сальдо международного инвестиционного сотрудничества - 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-10254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-490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</w:tr>
      <w:tr w:rsidR="00845F00" w:rsidRPr="00E5385F" w:rsidTr="00B2254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F00" w:rsidRPr="00E5385F" w:rsidTr="00B2254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страны СНГ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115,53</w:t>
            </w:r>
          </w:p>
        </w:tc>
      </w:tr>
      <w:tr w:rsidR="00845F00" w:rsidRPr="00E5385F" w:rsidTr="00B2254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страны дальнего зарубежья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-11838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19,60</w:t>
            </w:r>
          </w:p>
        </w:tc>
      </w:tr>
      <w:tr w:rsidR="00845F00" w:rsidRPr="00E5385F" w:rsidTr="00B2254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00" w:rsidRPr="00E5385F" w:rsidRDefault="00845F00" w:rsidP="00B22541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Коэффициент покрытия импорта экспортом, раз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0,43328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0" w:rsidRPr="00D5229B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22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180,20</w:t>
            </w:r>
          </w:p>
        </w:tc>
      </w:tr>
    </w:tbl>
    <w:p w:rsidR="00845F00" w:rsidRDefault="00845F00" w:rsidP="00845F00"/>
    <w:p w:rsidR="00845F00" w:rsidRPr="00315F22" w:rsidRDefault="00845F00" w:rsidP="00845F00">
      <w:pPr>
        <w:jc w:val="both"/>
        <w:rPr>
          <w:rFonts w:eastAsia="Times New Roman"/>
          <w:lang w:eastAsia="ru-RU"/>
        </w:rPr>
      </w:pPr>
      <w:r w:rsidRPr="00DA3C65">
        <w:rPr>
          <w:rFonts w:eastAsia="Times New Roman"/>
          <w:lang w:eastAsia="ru-RU"/>
        </w:rPr>
        <w:t xml:space="preserve">Международное инвестиционное сотрудничество российских нефтегазовых компаний в 2017г. начинает восстанавливаться после ухудшения международных отношений и введения санкций со стороны Запада. Так, в 2017г. инвестиционный оборот российского нефтегазового сектора увеличился по сравнению с 2016г. на 6,39% или на 2196 млн. долл., и составил 36550 млн. долл. (экспорт составил 18030 млн. долл. и импорт – 18520 млн. долл.). Импорт снизился в 2107г. по сравнению с 216г. на 3804 млн. долл. и составил 50,67% от инвестиционного оборота, соответственно на экспортные поставки (увеличившиеся в 2107г. на 49,63%) пришлось </w:t>
      </w:r>
      <w:r w:rsidRPr="00DA3C65">
        <w:rPr>
          <w:rFonts w:eastAsia="Times New Roman"/>
          <w:lang w:eastAsia="ru-RU"/>
        </w:rPr>
        <w:lastRenderedPageBreak/>
        <w:t>49,32</w:t>
      </w:r>
      <w:r w:rsidRPr="00315F22">
        <w:rPr>
          <w:rFonts w:eastAsia="Times New Roman"/>
          <w:lang w:eastAsia="ru-RU"/>
        </w:rPr>
        <w:t>% совокупного международного инвестиционного оборота нефтегазового сектора России.</w:t>
      </w:r>
    </w:p>
    <w:p w:rsidR="00845F00" w:rsidRPr="00A13AB8" w:rsidRDefault="00845F00" w:rsidP="00845F00">
      <w:pPr>
        <w:jc w:val="both"/>
        <w:rPr>
          <w:rFonts w:eastAsia="Times New Roman"/>
          <w:lang w:eastAsia="ru-RU"/>
        </w:rPr>
      </w:pPr>
      <w:proofErr w:type="gramStart"/>
      <w:r w:rsidRPr="00315F22">
        <w:rPr>
          <w:rFonts w:eastAsia="Times New Roman"/>
          <w:lang w:eastAsia="ru-RU"/>
        </w:rPr>
        <w:t>На страны дальнего зарубежья</w:t>
      </w:r>
      <w:r>
        <w:rPr>
          <w:rFonts w:eastAsia="Times New Roman"/>
          <w:lang w:eastAsia="ru-RU"/>
        </w:rPr>
        <w:t>,</w:t>
      </w:r>
      <w:r w:rsidRPr="00315F22">
        <w:rPr>
          <w:rFonts w:eastAsia="Times New Roman"/>
          <w:lang w:eastAsia="ru-RU"/>
        </w:rPr>
        <w:t xml:space="preserve"> традиционно, приходится около 95% от общего объема иностранных инвестиций (34572 млн. долл.), на страны СНГ – 5,4%. Международный инвестиционный оборот российских нефтегазовых компаний России со странами дальнего зарубежья в 2017г. по сравнению с 2016 г. увеличился на 7% и составил 34572млн. долл., а со странами СНГ – уменьшился на 68 млн. долл. и ставил на 1978 млн. долл</w:t>
      </w:r>
      <w:proofErr w:type="gramEnd"/>
      <w:r w:rsidRPr="00315F22">
        <w:rPr>
          <w:rFonts w:eastAsia="Times New Roman"/>
          <w:lang w:eastAsia="ru-RU"/>
        </w:rPr>
        <w:t xml:space="preserve">. Данные изменения обусловлены в большей степени снижением импорта инвестиций из стран ближнего </w:t>
      </w:r>
      <w:r w:rsidRPr="00A13AB8">
        <w:rPr>
          <w:rFonts w:eastAsia="Times New Roman"/>
          <w:lang w:eastAsia="ru-RU"/>
        </w:rPr>
        <w:t>зарубежья на 68%, со странами дальнего зарубежья - на 16,4%.</w:t>
      </w:r>
    </w:p>
    <w:p w:rsidR="00845F00" w:rsidRPr="00A13AB8" w:rsidRDefault="00845F00" w:rsidP="00845F00">
      <w:pPr>
        <w:shd w:val="clear" w:color="auto" w:fill="FFFFFF"/>
        <w:jc w:val="both"/>
        <w:rPr>
          <w:rFonts w:eastAsia="Times New Roman"/>
          <w:lang w:eastAsia="ru-RU"/>
        </w:rPr>
      </w:pPr>
      <w:r w:rsidRPr="00A13AB8">
        <w:rPr>
          <w:rFonts w:eastAsia="Times New Roman"/>
          <w:lang w:eastAsia="ru-RU"/>
        </w:rPr>
        <w:t>Основными инвестиционными торговыми партнерами российских нефтегазовых компаний в 2017 г. являлись: Сингапур – 24,3% от общего инвестиционного оборота сектора, Китай – 17,83%, Кипр – 7,84% (рис. 1). На долю десяти стран, крупнейших по объему инвестиций в Россию, среди которых Швейцария, Япония, Франция и Виргинские острова, приходится 80% общего объема иностранных инвестиций, что отражает высокую концентрацию поступающих средств.</w:t>
      </w:r>
    </w:p>
    <w:p w:rsidR="00845F00" w:rsidRPr="00A13AB8" w:rsidRDefault="00845F00" w:rsidP="00845F00">
      <w:pPr>
        <w:shd w:val="clear" w:color="auto" w:fill="FFFFFF"/>
        <w:jc w:val="both"/>
        <w:rPr>
          <w:rFonts w:eastAsia="Times New Roman"/>
          <w:lang w:eastAsia="ru-RU"/>
        </w:rPr>
      </w:pPr>
      <w:r w:rsidRPr="00A13AB8">
        <w:rPr>
          <w:rFonts w:eastAsia="Times New Roman"/>
          <w:lang w:eastAsia="ru-RU"/>
        </w:rPr>
        <w:t>Вложения из Кипра, Швейцарии, Австрии, Виргинских островов осуществляются по большей части структурами российского бизнеса, за счет ранее выведенных из России финансовых ресурсов. От 30 до 40% иностранных инвесторов представляют собой аффилированные компании российских предпринимателей.</w:t>
      </w:r>
    </w:p>
    <w:p w:rsidR="00845F00" w:rsidRPr="00E55C0F" w:rsidRDefault="00845F00" w:rsidP="00845F00">
      <w:pPr>
        <w:jc w:val="both"/>
        <w:rPr>
          <w:rFonts w:eastAsia="Times New Roman"/>
          <w:lang w:eastAsia="ru-RU"/>
        </w:rPr>
      </w:pPr>
    </w:p>
    <w:p w:rsidR="00845F00" w:rsidRDefault="00845F00" w:rsidP="00845F00">
      <w:r>
        <w:rPr>
          <w:noProof/>
          <w:lang w:eastAsia="ru-RU"/>
        </w:rPr>
        <w:lastRenderedPageBreak/>
        <w:drawing>
          <wp:inline distT="0" distB="0" distL="0" distR="0" wp14:anchorId="0A22760C" wp14:editId="671767B9">
            <wp:extent cx="5133975" cy="45148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5F00" w:rsidRDefault="00845F00" w:rsidP="00845F00">
      <w:pPr>
        <w:spacing w:after="200" w:line="276" w:lineRule="auto"/>
        <w:ind w:firstLine="0"/>
        <w:jc w:val="center"/>
      </w:pPr>
      <w:r>
        <w:t>Рисунок 1- Географическая структура инвестиционного международного сотрудничества компаний нефтегазового сектора России, %</w:t>
      </w:r>
    </w:p>
    <w:p w:rsidR="00845F00" w:rsidRDefault="00845F00" w:rsidP="00845F00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45F00" w:rsidRPr="001F2E2B" w:rsidRDefault="00845F00" w:rsidP="00845F00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45F00" w:rsidRPr="00A96619" w:rsidRDefault="00845F00" w:rsidP="00845F00">
      <w:pPr>
        <w:jc w:val="both"/>
        <w:rPr>
          <w:rFonts w:eastAsia="Times New Roman"/>
          <w:lang w:eastAsia="ru-RU"/>
        </w:rPr>
      </w:pPr>
      <w:r w:rsidRPr="00A96619">
        <w:rPr>
          <w:rFonts w:eastAsia="Times New Roman"/>
          <w:lang w:eastAsia="ru-RU"/>
        </w:rPr>
        <w:t xml:space="preserve">Отрицательное сальдо международного инвестиционного сотрудничества российского нефтегазового сектора за этот период составило -490 млн. долл., то есть импорт инвестиций ТЭК страны превышает экспорт  в 0,97 раз, о чем свидетельствует значение </w:t>
      </w:r>
      <w:r w:rsidRPr="00A96619">
        <w:t>коэффициента покрытия импорта экспортом.</w:t>
      </w:r>
      <w:r w:rsidRPr="00A96619">
        <w:rPr>
          <w:rFonts w:eastAsia="Times New Roman"/>
          <w:lang w:eastAsia="ru-RU"/>
        </w:rPr>
        <w:t xml:space="preserve"> </w:t>
      </w:r>
      <w:proofErr w:type="gramStart"/>
      <w:r w:rsidRPr="00A96619">
        <w:rPr>
          <w:rFonts w:eastAsia="Times New Roman"/>
          <w:lang w:eastAsia="ru-RU"/>
        </w:rPr>
        <w:t xml:space="preserve">По сравнению с 2016 г. сальдо уменьшилось на 9764 млн. долл. 54,44%  за счет уменьшения объемов импорта инвестиций на 17% и роста объемов экспорта инвестиций на 49,6%. </w:t>
      </w:r>
      <w:r w:rsidRPr="00A96619">
        <w:t xml:space="preserve">Относительно уровня 2016г. коэффициент покрытия импорта экспортом вырос почти в два раза  - это явилось следствием резкого роста экспорта инвестиций и незначительного уменьшения импорта отраслевых инвестиций. </w:t>
      </w:r>
      <w:proofErr w:type="gramEnd"/>
    </w:p>
    <w:p w:rsidR="00845F00" w:rsidRPr="00CC08C4" w:rsidRDefault="00845F00" w:rsidP="00845F00">
      <w:pPr>
        <w:shd w:val="clear" w:color="auto" w:fill="FFFFFF"/>
        <w:tabs>
          <w:tab w:val="left" w:pos="726"/>
        </w:tabs>
        <w:jc w:val="both"/>
        <w:rPr>
          <w:rStyle w:val="a9"/>
        </w:rPr>
      </w:pPr>
      <w:r w:rsidRPr="004B19B0">
        <w:lastRenderedPageBreak/>
        <w:t xml:space="preserve">Изучение развития </w:t>
      </w:r>
      <w:r>
        <w:t xml:space="preserve">инвестиционного </w:t>
      </w:r>
      <w:r w:rsidRPr="004B19B0">
        <w:t>международного сотрудничества компаний нефтегазового сек</w:t>
      </w:r>
      <w:r w:rsidRPr="00CC08C4">
        <w:t xml:space="preserve">тора предполагает </w:t>
      </w:r>
      <w:proofErr w:type="gramStart"/>
      <w:r w:rsidRPr="00CC08C4">
        <w:t>выявление</w:t>
      </w:r>
      <w:proofErr w:type="gramEnd"/>
      <w:r w:rsidRPr="00CC08C4">
        <w:t xml:space="preserve"> и измерение закономерностей е</w:t>
      </w:r>
      <w:r w:rsidR="00E568B7">
        <w:t>го</w:t>
      </w:r>
      <w:r w:rsidRPr="00CC08C4">
        <w:t xml:space="preserve"> развития во времени. </w:t>
      </w:r>
    </w:p>
    <w:p w:rsidR="00845F00" w:rsidRPr="00CC08C4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8C4">
        <w:rPr>
          <w:sz w:val="28"/>
          <w:szCs w:val="28"/>
        </w:rPr>
        <w:t xml:space="preserve">Анализ динамики развития международного </w:t>
      </w:r>
      <w:r>
        <w:rPr>
          <w:sz w:val="28"/>
          <w:szCs w:val="28"/>
        </w:rPr>
        <w:t xml:space="preserve">инвестиционного </w:t>
      </w:r>
      <w:r w:rsidRPr="00CC08C4">
        <w:rPr>
          <w:sz w:val="28"/>
          <w:szCs w:val="28"/>
        </w:rPr>
        <w:t xml:space="preserve">сотрудничества компаний нефтегазового сектора проводится по основным показателям международного инвестиционного, к числу которых относятся объем экспорта и импорта инвестиций в стоимостном выражении, объем инвестиционного оборота, сальдо международного инвестиционного сотрудничества и коэффициент покрытия импорта инвестиций экспортом. Временной интервал анализа - 10 лет. </w:t>
      </w:r>
    </w:p>
    <w:p w:rsidR="00845F00" w:rsidRPr="00CC08C4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8C4">
        <w:rPr>
          <w:rFonts w:eastAsia="Times#20New#20Roman"/>
          <w:sz w:val="28"/>
          <w:szCs w:val="28"/>
        </w:rPr>
        <w:t xml:space="preserve">Для выявления тенденций и оценки прогноза </w:t>
      </w:r>
      <w:r w:rsidRPr="00CC08C4">
        <w:rPr>
          <w:sz w:val="28"/>
          <w:szCs w:val="28"/>
        </w:rPr>
        <w:t xml:space="preserve">развития международного </w:t>
      </w:r>
      <w:r>
        <w:rPr>
          <w:sz w:val="28"/>
          <w:szCs w:val="28"/>
        </w:rPr>
        <w:t xml:space="preserve">инвестиционного </w:t>
      </w:r>
      <w:r w:rsidRPr="00CC08C4">
        <w:rPr>
          <w:sz w:val="28"/>
          <w:szCs w:val="28"/>
        </w:rPr>
        <w:t xml:space="preserve">сотрудничества нефтегазовых компаний </w:t>
      </w:r>
      <w:r w:rsidRPr="00CC08C4">
        <w:rPr>
          <w:rFonts w:eastAsia="Times#20New#20Roman"/>
          <w:sz w:val="28"/>
          <w:szCs w:val="28"/>
        </w:rPr>
        <w:t>был использован статистический инструментарий, включающий статистические графики, аналитическое выравнивание динамического ряда, экстраполяцию и корреляционно-регрессионный анализ.</w:t>
      </w:r>
    </w:p>
    <w:p w:rsidR="00845F00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8C4">
        <w:rPr>
          <w:sz w:val="28"/>
          <w:szCs w:val="28"/>
        </w:rPr>
        <w:t>Показатели динамики объема экспорта инвестиций из нефтегазового сектора российской экономики за пери</w:t>
      </w:r>
      <w:r w:rsidRPr="004B19B0">
        <w:rPr>
          <w:sz w:val="28"/>
          <w:szCs w:val="28"/>
        </w:rPr>
        <w:t xml:space="preserve">од 2008-2017гг. представлены на рисунке </w:t>
      </w:r>
      <w:r>
        <w:rPr>
          <w:sz w:val="28"/>
          <w:szCs w:val="28"/>
        </w:rPr>
        <w:t>2</w:t>
      </w:r>
      <w:r w:rsidRPr="004B19B0">
        <w:rPr>
          <w:sz w:val="28"/>
          <w:szCs w:val="28"/>
        </w:rPr>
        <w:t xml:space="preserve">. </w:t>
      </w:r>
    </w:p>
    <w:p w:rsidR="00845F00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7F31B59" wp14:editId="146CD178">
            <wp:extent cx="5940425" cy="3158797"/>
            <wp:effectExtent l="0" t="0" r="3175" b="381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5F00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5F00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4059E">
        <w:rPr>
          <w:sz w:val="28"/>
          <w:szCs w:val="28"/>
        </w:rPr>
        <w:lastRenderedPageBreak/>
        <w:t xml:space="preserve">Рисунок </w:t>
      </w:r>
      <w:r>
        <w:rPr>
          <w:sz w:val="28"/>
          <w:szCs w:val="28"/>
        </w:rPr>
        <w:t xml:space="preserve">2 </w:t>
      </w:r>
      <w:r w:rsidRPr="00F4059E">
        <w:rPr>
          <w:sz w:val="28"/>
          <w:szCs w:val="28"/>
        </w:rPr>
        <w:t>– Динамика экспорта инвестиций из нефтегазового сектора российской экономики за период 2008-2017гг.</w:t>
      </w:r>
    </w:p>
    <w:p w:rsidR="00845F00" w:rsidRPr="006514CB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28"/>
          <w:szCs w:val="28"/>
          <w:highlight w:val="yellow"/>
        </w:rPr>
      </w:pPr>
    </w:p>
    <w:p w:rsidR="00845F00" w:rsidRPr="00431DFE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31DFE">
        <w:rPr>
          <w:sz w:val="28"/>
          <w:szCs w:val="28"/>
        </w:rPr>
        <w:t>Как свидетельствуют представленные данные, в 2017 г. по сравнению с уровнем 2008г. экспорт инвестиций из нефтегазового сектора российской экономики возрос на 4439,7 млн. долл. или на 23,13% и по итогам 2017 г. составил 23636,7 млн. долл. В течение рассматриваемого периода наибольший объем экспорта инвестиционных средств был отмечен в 2011 г. - 69959,2 млн. долл., наименьший в 2009г.  - 19197,0 млн. долл. Начиная</w:t>
      </w:r>
      <w:proofErr w:type="gramEnd"/>
      <w:r w:rsidRPr="00431DFE">
        <w:rPr>
          <w:sz w:val="28"/>
          <w:szCs w:val="28"/>
        </w:rPr>
        <w:t xml:space="preserve"> с 2011г. происходит постепенное снижение экспорта отраслевых  инвестиций из нефтегазового сектора России. Ежегодно экспорт инвестиций увеличивался в среднем на 493,3 млн. долл. или 2,34%.</w:t>
      </w:r>
    </w:p>
    <w:p w:rsidR="00845F00" w:rsidRPr="00431DFE" w:rsidRDefault="00845F00" w:rsidP="00845F00">
      <w:pPr>
        <w:autoSpaceDE w:val="0"/>
        <w:autoSpaceDN w:val="0"/>
        <w:adjustRightInd w:val="0"/>
        <w:jc w:val="both"/>
      </w:pPr>
      <w:r w:rsidRPr="00431DFE">
        <w:rPr>
          <w:rFonts w:eastAsia="Times#20New#20Roman"/>
          <w:lang w:eastAsia="ru-RU"/>
        </w:rPr>
        <w:t xml:space="preserve">При анализе показателей динамики </w:t>
      </w:r>
      <w:r w:rsidRPr="00431DFE">
        <w:t>экспорта инвестиций нефтегазовых компаний</w:t>
      </w:r>
      <w:r w:rsidRPr="00431DFE">
        <w:rPr>
          <w:rFonts w:eastAsia="Times#20New#20Roman"/>
          <w:lang w:eastAsia="ru-RU"/>
        </w:rPr>
        <w:t xml:space="preserve"> за период с 2008г. по 2017г. наблюдается снижение вывоза капитала, прирост объема экспорта инвестиций отмечен в 2009-2011гг. и 2012-2014 гг., снижение в 2011 г. и 2014-2017</w:t>
      </w:r>
      <w:r w:rsidR="001C790B">
        <w:rPr>
          <w:rFonts w:eastAsia="Times#20New#20Roman"/>
          <w:lang w:eastAsia="ru-RU"/>
        </w:rPr>
        <w:t xml:space="preserve">гг. </w:t>
      </w:r>
      <w:r w:rsidRPr="00431DFE">
        <w:rPr>
          <w:rFonts w:eastAsia="Times#20New#20Roman"/>
          <w:lang w:eastAsia="ru-RU"/>
        </w:rPr>
        <w:t xml:space="preserve"> </w:t>
      </w:r>
    </w:p>
    <w:p w:rsidR="00845F00" w:rsidRPr="004B19B0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19B0">
        <w:rPr>
          <w:sz w:val="28"/>
          <w:szCs w:val="28"/>
        </w:rPr>
        <w:t xml:space="preserve">Показатели динамики объема </w:t>
      </w:r>
      <w:r>
        <w:rPr>
          <w:sz w:val="28"/>
          <w:szCs w:val="28"/>
        </w:rPr>
        <w:t>импорта</w:t>
      </w:r>
      <w:r w:rsidRPr="004B19B0">
        <w:rPr>
          <w:sz w:val="28"/>
          <w:szCs w:val="28"/>
        </w:rPr>
        <w:t xml:space="preserve"> инвестиций </w:t>
      </w:r>
      <w:r>
        <w:rPr>
          <w:sz w:val="28"/>
          <w:szCs w:val="28"/>
        </w:rPr>
        <w:t>в нефтегазовый</w:t>
      </w:r>
      <w:r w:rsidRPr="004B19B0">
        <w:rPr>
          <w:sz w:val="28"/>
          <w:szCs w:val="28"/>
        </w:rPr>
        <w:t xml:space="preserve"> сектор российской экономики за период 2008-2017гг. представлены на рисунке </w:t>
      </w:r>
      <w:r w:rsidR="001C790B">
        <w:rPr>
          <w:sz w:val="28"/>
          <w:szCs w:val="28"/>
        </w:rPr>
        <w:t>3</w:t>
      </w:r>
      <w:r w:rsidRPr="004B19B0">
        <w:rPr>
          <w:sz w:val="28"/>
          <w:szCs w:val="28"/>
        </w:rPr>
        <w:t xml:space="preserve">. </w:t>
      </w:r>
    </w:p>
    <w:p w:rsidR="00845F00" w:rsidRDefault="00845F00" w:rsidP="00845F00">
      <w:pPr>
        <w:spacing w:after="200" w:line="276" w:lineRule="auto"/>
        <w:ind w:firstLine="0"/>
      </w:pPr>
      <w:r>
        <w:rPr>
          <w:noProof/>
          <w:lang w:eastAsia="ru-RU"/>
        </w:rPr>
        <w:drawing>
          <wp:inline distT="0" distB="0" distL="0" distR="0" wp14:anchorId="69157BC5" wp14:editId="783A2687">
            <wp:extent cx="5903259" cy="2608730"/>
            <wp:effectExtent l="0" t="0" r="2540" b="12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5F00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4059E">
        <w:rPr>
          <w:sz w:val="28"/>
          <w:szCs w:val="28"/>
        </w:rPr>
        <w:t xml:space="preserve">Рисунок </w:t>
      </w:r>
      <w:r w:rsidR="001C790B">
        <w:rPr>
          <w:sz w:val="28"/>
          <w:szCs w:val="28"/>
        </w:rPr>
        <w:t>3</w:t>
      </w:r>
      <w:r w:rsidRPr="00F4059E">
        <w:rPr>
          <w:sz w:val="28"/>
          <w:szCs w:val="28"/>
        </w:rPr>
        <w:t xml:space="preserve"> – Динамика </w:t>
      </w:r>
      <w:r>
        <w:rPr>
          <w:sz w:val="28"/>
          <w:szCs w:val="28"/>
        </w:rPr>
        <w:t>объема импорта</w:t>
      </w:r>
      <w:r w:rsidRPr="00F4059E">
        <w:rPr>
          <w:sz w:val="28"/>
          <w:szCs w:val="28"/>
        </w:rPr>
        <w:t xml:space="preserve"> инвестиций </w:t>
      </w:r>
      <w:r>
        <w:rPr>
          <w:sz w:val="28"/>
          <w:szCs w:val="28"/>
        </w:rPr>
        <w:t>в нефтегазовый</w:t>
      </w:r>
      <w:r w:rsidRPr="00F4059E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</w:t>
      </w:r>
      <w:r w:rsidRPr="00F4059E">
        <w:rPr>
          <w:sz w:val="28"/>
          <w:szCs w:val="28"/>
        </w:rPr>
        <w:t xml:space="preserve"> российской экономики за период 2008-2017гг.</w:t>
      </w:r>
    </w:p>
    <w:p w:rsidR="00845F00" w:rsidRPr="002D55ED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5F00" w:rsidRPr="002D55ED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D55ED">
        <w:rPr>
          <w:sz w:val="28"/>
          <w:szCs w:val="28"/>
        </w:rPr>
        <w:t xml:space="preserve">Как свидетельствуют представленные данные, в 2017 г. по сравнению с уровнем 2008 г. импорт инвестиций нефтегазовых компаний возрос на </w:t>
      </w:r>
      <w:r>
        <w:rPr>
          <w:sz w:val="28"/>
          <w:szCs w:val="28"/>
        </w:rPr>
        <w:t>14689,8</w:t>
      </w:r>
      <w:r w:rsidRPr="002D55ED">
        <w:rPr>
          <w:sz w:val="28"/>
          <w:szCs w:val="28"/>
        </w:rPr>
        <w:t xml:space="preserve"> млн. долл. или </w:t>
      </w:r>
      <w:r>
        <w:rPr>
          <w:sz w:val="28"/>
          <w:szCs w:val="28"/>
        </w:rPr>
        <w:t xml:space="preserve">в 2,5 раза </w:t>
      </w:r>
      <w:r w:rsidRPr="002D55ED">
        <w:rPr>
          <w:sz w:val="28"/>
          <w:szCs w:val="28"/>
        </w:rPr>
        <w:t>по итогам 2017г. составил 20775,3 млн. долл. В течение рассматриваемого периода наибольший объем импорта инвестиционных средств ТЭК был отмечен в 2014г. – 40650,9 млн. долл., наименьший в 2008г.  – 6085,5 млн. долл. Начиная с 2014 г</w:t>
      </w:r>
      <w:proofErr w:type="gramEnd"/>
      <w:r w:rsidRPr="002D55ED">
        <w:rPr>
          <w:sz w:val="28"/>
          <w:szCs w:val="28"/>
        </w:rPr>
        <w:t>. происходит постепенное снижение импорта инвестиций из нефтегазового сектора страны. Ежегодно импорт инвестиций в среднем на 1623 млн. долл. или 15%.</w:t>
      </w:r>
    </w:p>
    <w:p w:rsidR="00845F00" w:rsidRPr="002D55ED" w:rsidRDefault="00845F00" w:rsidP="00845F00">
      <w:pPr>
        <w:autoSpaceDE w:val="0"/>
        <w:autoSpaceDN w:val="0"/>
        <w:adjustRightInd w:val="0"/>
        <w:jc w:val="both"/>
        <w:rPr>
          <w:rFonts w:eastAsia="Times#20New#20Roman"/>
          <w:lang w:eastAsia="ru-RU"/>
        </w:rPr>
      </w:pPr>
      <w:r w:rsidRPr="002D55ED">
        <w:rPr>
          <w:rFonts w:eastAsia="Times#20New#20Roman"/>
          <w:lang w:eastAsia="ru-RU"/>
        </w:rPr>
        <w:t xml:space="preserve">При анализе показателей динамики импорта инвестиций в ТЭК России с 2008г. по 2017г. наблюдается снижение ввоза капитала в отрасль, прирост объема инвестиций в нефтегазовый сектор отмечен в 2009-2011гг. и 2013-2014 гг., снижение в 2011г. и 2014-2017гг. </w:t>
      </w:r>
    </w:p>
    <w:p w:rsidR="00845F00" w:rsidRPr="004B19B0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19B0">
        <w:rPr>
          <w:sz w:val="28"/>
          <w:szCs w:val="28"/>
        </w:rPr>
        <w:t xml:space="preserve">Показатели динамики объема </w:t>
      </w:r>
      <w:r>
        <w:rPr>
          <w:sz w:val="28"/>
          <w:szCs w:val="28"/>
        </w:rPr>
        <w:t>инвестиционного оборота в нефтегазовом</w:t>
      </w:r>
      <w:r w:rsidRPr="004B19B0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е</w:t>
      </w:r>
      <w:r w:rsidRPr="004B19B0">
        <w:rPr>
          <w:sz w:val="28"/>
          <w:szCs w:val="28"/>
        </w:rPr>
        <w:t xml:space="preserve"> российской экономики за период 2008-2017гг. представлены на рисунке</w:t>
      </w:r>
      <w:r>
        <w:rPr>
          <w:sz w:val="28"/>
          <w:szCs w:val="28"/>
        </w:rPr>
        <w:t xml:space="preserve"> </w:t>
      </w:r>
      <w:r w:rsidR="001C790B">
        <w:rPr>
          <w:sz w:val="28"/>
          <w:szCs w:val="28"/>
        </w:rPr>
        <w:t>4</w:t>
      </w:r>
      <w:r w:rsidRPr="004B19B0">
        <w:rPr>
          <w:sz w:val="28"/>
          <w:szCs w:val="28"/>
        </w:rPr>
        <w:t xml:space="preserve">. </w:t>
      </w:r>
    </w:p>
    <w:p w:rsidR="00845F00" w:rsidRDefault="00845F00" w:rsidP="00845F00">
      <w:pPr>
        <w:spacing w:after="200" w:line="276" w:lineRule="auto"/>
        <w:ind w:firstLine="0"/>
      </w:pPr>
      <w:r>
        <w:rPr>
          <w:noProof/>
          <w:lang w:eastAsia="ru-RU"/>
        </w:rPr>
        <w:drawing>
          <wp:inline distT="0" distB="0" distL="0" distR="0" wp14:anchorId="7045A4EB" wp14:editId="3AD4CE6C">
            <wp:extent cx="5862917" cy="2877671"/>
            <wp:effectExtent l="0" t="0" r="508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5F00" w:rsidRDefault="00845F00" w:rsidP="00845F00">
      <w:pPr>
        <w:ind w:firstLine="0"/>
        <w:jc w:val="center"/>
      </w:pPr>
      <w:r w:rsidRPr="00F4059E">
        <w:t xml:space="preserve">Рисунок </w:t>
      </w:r>
      <w:r w:rsidR="001C790B">
        <w:t>4</w:t>
      </w:r>
      <w:r w:rsidRPr="00F4059E">
        <w:t xml:space="preserve"> – Динамика </w:t>
      </w:r>
      <w:r w:rsidRPr="004B19B0">
        <w:t xml:space="preserve">объема </w:t>
      </w:r>
      <w:r>
        <w:t>инвестиционного оборота в нефтегазовом</w:t>
      </w:r>
      <w:r w:rsidRPr="004B19B0">
        <w:t xml:space="preserve"> сектор</w:t>
      </w:r>
      <w:r>
        <w:t>е</w:t>
      </w:r>
      <w:r w:rsidRPr="004B19B0">
        <w:t xml:space="preserve"> российской экономики за период 2008-2017гг.</w:t>
      </w:r>
    </w:p>
    <w:p w:rsidR="00845F00" w:rsidRDefault="00845F00" w:rsidP="00845F00">
      <w:pPr>
        <w:ind w:firstLine="0"/>
        <w:jc w:val="center"/>
      </w:pPr>
    </w:p>
    <w:p w:rsidR="00845F00" w:rsidRPr="0090451B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0451B">
        <w:rPr>
          <w:sz w:val="28"/>
          <w:szCs w:val="28"/>
        </w:rPr>
        <w:lastRenderedPageBreak/>
        <w:t>Как свидетельствуют представленные данные, в 2017 г. по сравнению с уровнем 2008 г. совокупный объем инвестиционного оборота нефтегазового сектора на 19129,5 млн. долл. или на 75,6% и по итогам 2017г. составил 44412 млн. долл. В течение рассматриваемого периода наибольший объем инвестиционного оборота был отмечен в 2014г. – 112622,3 млн. долл., наименьший в 2009г.  - 30379 млн. долл. В периоды 2011-212гг. и с</w:t>
      </w:r>
      <w:proofErr w:type="gramEnd"/>
      <w:r w:rsidRPr="0090451B">
        <w:rPr>
          <w:sz w:val="28"/>
          <w:szCs w:val="28"/>
        </w:rPr>
        <w:t xml:space="preserve"> 2014г. происходит постепенное снижение инвестиционного оборота нефтегазового сектора страны. Ежегодно экспорт увеличивался в среднем на 2125,5 млн. долл. или 6,46%.</w:t>
      </w:r>
    </w:p>
    <w:p w:rsidR="00845F00" w:rsidRPr="00E17D28" w:rsidRDefault="00845F00" w:rsidP="00B34C47">
      <w:pPr>
        <w:jc w:val="both"/>
        <w:rPr>
          <w:rFonts w:eastAsia="Times#20New#20Roman"/>
        </w:rPr>
      </w:pPr>
      <w:r w:rsidRPr="0090451B">
        <w:rPr>
          <w:rFonts w:eastAsia="Times#20New#20Roman"/>
          <w:lang w:eastAsia="ru-RU"/>
        </w:rPr>
        <w:t xml:space="preserve">При анализе показателей динамики инвестиционного оборота нефтегазовых компаний страны с иностранными партнерами за период с 2008 по 2017 гг. наблюдается снижение объемов инвестиционного сотрудничества, прирост инвестиционного объема отмечен в 2009-2011гг. и 2012-2014 гг., снижение в 2010 г. и 2014г. </w:t>
      </w:r>
    </w:p>
    <w:p w:rsidR="00845F00" w:rsidRPr="004B19B0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19B0">
        <w:rPr>
          <w:sz w:val="28"/>
          <w:szCs w:val="28"/>
        </w:rPr>
        <w:t xml:space="preserve">Показатели динамики </w:t>
      </w:r>
      <w:r>
        <w:rPr>
          <w:sz w:val="28"/>
          <w:szCs w:val="28"/>
        </w:rPr>
        <w:t>сальдо международного инвестиционного сотрудничества в нефтегазовом</w:t>
      </w:r>
      <w:r w:rsidRPr="004B19B0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е</w:t>
      </w:r>
      <w:r w:rsidRPr="004B19B0">
        <w:rPr>
          <w:sz w:val="28"/>
          <w:szCs w:val="28"/>
        </w:rPr>
        <w:t xml:space="preserve"> российской экономики за период 2008-2017гг. представлены на рисунке </w:t>
      </w:r>
      <w:r w:rsidR="001C790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B19B0">
        <w:rPr>
          <w:sz w:val="28"/>
          <w:szCs w:val="28"/>
        </w:rPr>
        <w:t xml:space="preserve"> </w:t>
      </w:r>
    </w:p>
    <w:p w:rsidR="00845F00" w:rsidRDefault="00845F00" w:rsidP="00845F00">
      <w:pPr>
        <w:spacing w:after="200" w:line="276" w:lineRule="auto"/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5235F11" wp14:editId="4902EEEF">
            <wp:extent cx="5688106" cy="2864224"/>
            <wp:effectExtent l="0" t="0" r="825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5F00" w:rsidRDefault="00845F00" w:rsidP="00845F00">
      <w:pPr>
        <w:ind w:firstLine="0"/>
        <w:jc w:val="center"/>
      </w:pPr>
      <w:r w:rsidRPr="00F4059E">
        <w:t xml:space="preserve">Рисунок </w:t>
      </w:r>
      <w:r w:rsidR="001C790B">
        <w:t>5</w:t>
      </w:r>
      <w:r w:rsidRPr="00F4059E">
        <w:t xml:space="preserve"> – Динамика</w:t>
      </w:r>
      <w:r>
        <w:t xml:space="preserve"> сальдо международного инвестиционного сотрудничества в нефтегазовом</w:t>
      </w:r>
      <w:r w:rsidRPr="004B19B0">
        <w:t xml:space="preserve"> сектор</w:t>
      </w:r>
      <w:r>
        <w:t>е</w:t>
      </w:r>
      <w:r w:rsidRPr="004B19B0">
        <w:t xml:space="preserve"> российской экономики за период 2008-2017гг.</w:t>
      </w:r>
    </w:p>
    <w:p w:rsidR="00845F00" w:rsidRPr="005079F9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079F9">
        <w:rPr>
          <w:sz w:val="28"/>
          <w:szCs w:val="28"/>
        </w:rPr>
        <w:lastRenderedPageBreak/>
        <w:t>Как свидетельствуют представленные данные, в 2017 г. по сравнению с уровнем 2008 г. сальдо международного инвестиционного сотрудничества в нефтегазовом секторе российской экономики уменьшилось на 10250,1 млн. долл. или на 78,2% и по итогам 2017 г. составил 2861,4 млн. долл. В течение рассматриваемого периода наибольший объем сальдо международного инвестиционного сотрудничества в нефтегазовом секторе был отмечен в 2011 г. – 50480,7 млн. долл</w:t>
      </w:r>
      <w:proofErr w:type="gramEnd"/>
      <w:r w:rsidRPr="005079F9">
        <w:rPr>
          <w:sz w:val="28"/>
          <w:szCs w:val="28"/>
        </w:rPr>
        <w:t>., наименьший в 2017г. Начиная с 2015г. происходит постепенное снижение сальдо международного инвестиционного сотрудничества в нефтегазовом секторе страны. Ежегодно сальдо международного инвестиционного сотрудничества в нефтегазовом секторе уменьшался на 1138,9 млн. долл. или 15,5%.</w:t>
      </w:r>
    </w:p>
    <w:p w:rsidR="00845F00" w:rsidRDefault="00845F00" w:rsidP="00B34C47">
      <w:pPr>
        <w:jc w:val="both"/>
      </w:pPr>
      <w:r w:rsidRPr="005079F9">
        <w:rPr>
          <w:rFonts w:eastAsia="Times New Roman"/>
          <w:lang w:eastAsia="ru-RU"/>
        </w:rPr>
        <w:t xml:space="preserve">При анализе показателей динамики сальдо международного инвестиционного сотрудничества в нефтегазовом секторе российской экономики за период с 2008 по 2017гг. наблюдается снижение сальдо международного инвестиционного сотрудничества, прирост объема сальдо  отмечен в 2009-2011 гг. и 2012-2015 гг., снижение в 2011г. и 2015-2017 гг. </w:t>
      </w:r>
    </w:p>
    <w:p w:rsidR="00845F00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19B0">
        <w:rPr>
          <w:sz w:val="28"/>
          <w:szCs w:val="28"/>
        </w:rPr>
        <w:t xml:space="preserve">Показатели динамики </w:t>
      </w:r>
      <w:r>
        <w:rPr>
          <w:sz w:val="28"/>
          <w:szCs w:val="28"/>
        </w:rPr>
        <w:t>коэффициента покрытия импорта инвестиций экспортом в нефтегазовом</w:t>
      </w:r>
      <w:r w:rsidRPr="004B19B0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е</w:t>
      </w:r>
      <w:r w:rsidRPr="004B19B0">
        <w:rPr>
          <w:sz w:val="28"/>
          <w:szCs w:val="28"/>
        </w:rPr>
        <w:t xml:space="preserve"> российской экономики за период 2008-2017гг. представлены на рисунке</w:t>
      </w:r>
      <w:r w:rsidR="001C790B">
        <w:rPr>
          <w:sz w:val="28"/>
          <w:szCs w:val="28"/>
        </w:rPr>
        <w:t xml:space="preserve"> 6</w:t>
      </w:r>
      <w:r w:rsidRPr="004B19B0">
        <w:rPr>
          <w:sz w:val="28"/>
          <w:szCs w:val="28"/>
        </w:rPr>
        <w:t xml:space="preserve">. </w:t>
      </w:r>
    </w:p>
    <w:p w:rsidR="00845F00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C1FA8B2" wp14:editId="75979D1C">
            <wp:extent cx="5543550" cy="287655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5F00" w:rsidRDefault="00845F00" w:rsidP="00845F00">
      <w:pPr>
        <w:ind w:firstLine="0"/>
        <w:jc w:val="center"/>
      </w:pPr>
      <w:r w:rsidRPr="00F4059E">
        <w:lastRenderedPageBreak/>
        <w:t xml:space="preserve">Рисунок </w:t>
      </w:r>
      <w:r w:rsidR="001C790B">
        <w:t>6</w:t>
      </w:r>
      <w:r w:rsidRPr="00F4059E">
        <w:t xml:space="preserve"> – Динамика</w:t>
      </w:r>
      <w:r>
        <w:t xml:space="preserve"> коэффициента покрытия импорта инвестиций экспортом в нефтегазовом</w:t>
      </w:r>
      <w:r w:rsidRPr="004B19B0">
        <w:t xml:space="preserve"> сектор</w:t>
      </w:r>
      <w:r>
        <w:t>е</w:t>
      </w:r>
      <w:r w:rsidRPr="004B19B0">
        <w:t xml:space="preserve"> российской экономики </w:t>
      </w:r>
    </w:p>
    <w:p w:rsidR="00845F00" w:rsidRDefault="00845F00" w:rsidP="00845F00">
      <w:pPr>
        <w:ind w:firstLine="0"/>
        <w:jc w:val="center"/>
      </w:pPr>
      <w:r w:rsidRPr="004B19B0">
        <w:t>за период 2008-2017гг.</w:t>
      </w:r>
    </w:p>
    <w:p w:rsidR="00845F00" w:rsidRPr="00661879" w:rsidRDefault="00845F00" w:rsidP="00845F00">
      <w:pPr>
        <w:ind w:firstLine="0"/>
        <w:jc w:val="center"/>
      </w:pPr>
    </w:p>
    <w:p w:rsidR="00845F00" w:rsidRPr="009902E5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02E5">
        <w:rPr>
          <w:sz w:val="28"/>
          <w:szCs w:val="28"/>
        </w:rPr>
        <w:t xml:space="preserve">Как свидетельствуют представленные данные, в 2017 г. по сравнению с уровнем 2008 г. коэффициент покрытия импорта инвестиций экспортом в национальном нефтегазовом секторе сократился на 2,02 пункта или на 63% и по итогам 2017 г. составил 1,14. В течение рассматриваемого периода наибольшее значение коэффициента покрытия импорта инвестиций экспортом в национальном нефтегазовом секторе был отмечен в 2010г. – 13,86, наименьший в 2017г. Начиная с 2009г. происходит постепенное снижение значение коэффициента покрытия импорта инвестиций экспортом в национальном нефтегазовом секторе. Ежегодно значение коэффициента снижается в среднем на 0,22 </w:t>
      </w:r>
      <w:proofErr w:type="spellStart"/>
      <w:r w:rsidRPr="009902E5">
        <w:rPr>
          <w:sz w:val="28"/>
          <w:szCs w:val="28"/>
        </w:rPr>
        <w:t>д.ед</w:t>
      </w:r>
      <w:proofErr w:type="spellEnd"/>
      <w:r w:rsidRPr="009902E5">
        <w:rPr>
          <w:sz w:val="28"/>
          <w:szCs w:val="28"/>
        </w:rPr>
        <w:t>. или на 10%.</w:t>
      </w:r>
    </w:p>
    <w:p w:rsidR="00845F00" w:rsidRPr="00461126" w:rsidRDefault="00845F00" w:rsidP="00B34C47">
      <w:pPr>
        <w:jc w:val="both"/>
        <w:rPr>
          <w:rFonts w:eastAsia="Times#20New#20Roman"/>
          <w:lang w:eastAsia="ru-RU"/>
        </w:rPr>
      </w:pPr>
      <w:r w:rsidRPr="009902E5">
        <w:rPr>
          <w:rFonts w:eastAsia="Times#20New#20Roman"/>
          <w:lang w:eastAsia="ru-RU"/>
        </w:rPr>
        <w:t xml:space="preserve">При анализе показателей </w:t>
      </w:r>
      <w:proofErr w:type="gramStart"/>
      <w:r w:rsidRPr="009902E5">
        <w:rPr>
          <w:rFonts w:eastAsia="Times#20New#20Roman"/>
          <w:lang w:eastAsia="ru-RU"/>
        </w:rPr>
        <w:t xml:space="preserve">динамики </w:t>
      </w:r>
      <w:r w:rsidRPr="009902E5">
        <w:t>значения коэффициента покрытия импорта инвестиций</w:t>
      </w:r>
      <w:proofErr w:type="gramEnd"/>
      <w:r w:rsidRPr="009902E5">
        <w:t xml:space="preserve"> экспортом в национальном нефтегазовом секторе </w:t>
      </w:r>
      <w:r w:rsidRPr="009902E5">
        <w:rPr>
          <w:rFonts w:eastAsia="Times#20New#20Roman"/>
          <w:lang w:eastAsia="ru-RU"/>
        </w:rPr>
        <w:t xml:space="preserve">за период с 2008 по 2017 гг. наблюдается снижение его величины, прирост </w:t>
      </w:r>
      <w:r w:rsidRPr="009902E5">
        <w:t xml:space="preserve">значения коэффициента покрытия импорта инвестиций экспортом </w:t>
      </w:r>
      <w:r w:rsidRPr="009902E5">
        <w:rPr>
          <w:rFonts w:eastAsia="Times#20New#20Roman"/>
          <w:lang w:eastAsia="ru-RU"/>
        </w:rPr>
        <w:t xml:space="preserve">отмечен в 2008-2010 гг. и 2014-2015 гг., снижение в 2010-212гг. и 2015-2017 гг. </w:t>
      </w:r>
    </w:p>
    <w:p w:rsidR="00845F00" w:rsidRPr="00461126" w:rsidRDefault="00845F00" w:rsidP="00845F00">
      <w:pPr>
        <w:jc w:val="both"/>
      </w:pPr>
      <w:r w:rsidRPr="00461126">
        <w:t>Заключительным этапом анализа является оценка эффективности международного инвестиционного сотрудничества российских нефтегазовых компаний</w:t>
      </w:r>
      <w:r w:rsidRPr="00461126">
        <w:rPr>
          <w:rFonts w:eastAsia="Times#20New#20Roman"/>
          <w:lang w:eastAsia="ru-RU"/>
        </w:rPr>
        <w:t xml:space="preserve">. </w:t>
      </w:r>
      <w:r w:rsidRPr="00461126">
        <w:t xml:space="preserve">Результаты динамики  инвестиционного сальдо в нефтегазовом секторе, международного инвестиционного оборота и </w:t>
      </w:r>
      <w:r w:rsidRPr="004E2888">
        <w:t>коэффициент покрытия импорта инвестиций экспортом представлены в таблице</w:t>
      </w:r>
      <w:r w:rsidRPr="00461126">
        <w:rPr>
          <w:rFonts w:eastAsia="Times#20New#20Roman"/>
          <w:lang w:eastAsia="ru-RU"/>
        </w:rPr>
        <w:t xml:space="preserve"> 2.</w:t>
      </w:r>
    </w:p>
    <w:p w:rsidR="0092467A" w:rsidRDefault="0092467A">
      <w:pPr>
        <w:spacing w:after="200" w:line="276" w:lineRule="auto"/>
        <w:ind w:firstLine="0"/>
        <w:rPr>
          <w:rFonts w:eastAsia="Times#20New#20Roman"/>
          <w:lang w:eastAsia="ru-RU"/>
        </w:rPr>
      </w:pPr>
      <w:r>
        <w:rPr>
          <w:rFonts w:eastAsia="Times#20New#20Roman"/>
          <w:lang w:eastAsia="ru-RU"/>
        </w:rPr>
        <w:br w:type="page"/>
      </w:r>
    </w:p>
    <w:p w:rsidR="001C790B" w:rsidRDefault="00845F00" w:rsidP="001C790B">
      <w:pPr>
        <w:jc w:val="right"/>
        <w:rPr>
          <w:rFonts w:eastAsia="Times#20New#20Roman"/>
          <w:lang w:eastAsia="ru-RU"/>
        </w:rPr>
      </w:pPr>
      <w:r w:rsidRPr="004E2888">
        <w:rPr>
          <w:rFonts w:eastAsia="Times#20New#20Roman"/>
          <w:lang w:eastAsia="ru-RU"/>
        </w:rPr>
        <w:lastRenderedPageBreak/>
        <w:t xml:space="preserve">Таблица 2 </w:t>
      </w:r>
    </w:p>
    <w:p w:rsidR="00845F00" w:rsidRPr="004E2888" w:rsidRDefault="00845F00" w:rsidP="001C790B">
      <w:pPr>
        <w:jc w:val="center"/>
      </w:pPr>
      <w:r w:rsidRPr="004E2888">
        <w:rPr>
          <w:rFonts w:eastAsia="Times#20New#20Roman"/>
          <w:lang w:eastAsia="ru-RU"/>
        </w:rPr>
        <w:t xml:space="preserve">Динамика показателей эффективности </w:t>
      </w:r>
      <w:r w:rsidRPr="004E2888">
        <w:t>международного инвестиционного сотрудничества российских нефтегазовых компаний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1390"/>
        <w:gridCol w:w="1485"/>
        <w:gridCol w:w="1347"/>
        <w:gridCol w:w="1856"/>
        <w:gridCol w:w="1945"/>
        <w:gridCol w:w="1517"/>
      </w:tblGrid>
      <w:tr w:rsidR="00845F00" w:rsidRPr="0006017F" w:rsidTr="00B22541">
        <w:trPr>
          <w:trHeight w:val="171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Годы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Экспорт инвестиций в нефтегазовой отрасли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Импорт инвестиций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инвестиционного оборота, млн. долл.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Сальдо международного инвестиционного сотрудничества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Коэффициент покрытия импорта инвестиций экспортом, д. ед.</w:t>
            </w:r>
          </w:p>
        </w:tc>
      </w:tr>
      <w:tr w:rsidR="00845F00" w:rsidRPr="0006017F" w:rsidTr="00B22541">
        <w:trPr>
          <w:trHeight w:val="3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19197,0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6085,5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25282,5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13111,5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3,15</w:t>
            </w:r>
          </w:p>
        </w:tc>
      </w:tr>
      <w:tr w:rsidR="00845F00" w:rsidRPr="0006017F" w:rsidTr="00B22541">
        <w:trPr>
          <w:trHeight w:val="3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23321,1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7057,9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30379,0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16263,2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3,30</w:t>
            </w:r>
          </w:p>
        </w:tc>
      </w:tr>
      <w:tr w:rsidR="00845F00" w:rsidRPr="0006017F" w:rsidTr="00B22541">
        <w:trPr>
          <w:trHeight w:val="3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51126,3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12318,4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63444,7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38807,9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4,15</w:t>
            </w:r>
          </w:p>
        </w:tc>
      </w:tr>
      <w:tr w:rsidR="00845F00" w:rsidRPr="0006017F" w:rsidTr="00B22541">
        <w:trPr>
          <w:trHeight w:val="3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69959,2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19478,5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89437,7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50480,7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3,59</w:t>
            </w:r>
          </w:p>
        </w:tc>
      </w:tr>
      <w:tr w:rsidR="00845F00" w:rsidRPr="0006017F" w:rsidTr="00B22541">
        <w:trPr>
          <w:trHeight w:val="3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42536,3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18633,3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61169,6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23903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2,28</w:t>
            </w:r>
          </w:p>
        </w:tc>
      </w:tr>
      <w:tr w:rsidR="00845F00" w:rsidRPr="0006017F" w:rsidTr="00B22541">
        <w:trPr>
          <w:trHeight w:val="3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53353,4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22822,2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76175,6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30531,2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2,34</w:t>
            </w:r>
          </w:p>
        </w:tc>
      </w:tr>
      <w:tr w:rsidR="00845F00" w:rsidRPr="0006017F" w:rsidTr="00B22541">
        <w:trPr>
          <w:trHeight w:val="3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71971,4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40650,9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112622,3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31320,5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1,77</w:t>
            </w:r>
          </w:p>
        </w:tc>
      </w:tr>
      <w:tr w:rsidR="00845F00" w:rsidRPr="0006017F" w:rsidTr="00B22541">
        <w:trPr>
          <w:trHeight w:val="3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67705,3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24790,6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92495,9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42914,7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2,73</w:t>
            </w:r>
          </w:p>
        </w:tc>
      </w:tr>
      <w:tr w:rsidR="00845F00" w:rsidRPr="0006017F" w:rsidTr="00B22541">
        <w:trPr>
          <w:trHeight w:val="3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49382,4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20458,2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69840,6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28924,2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2,41</w:t>
            </w:r>
          </w:p>
        </w:tc>
      </w:tr>
      <w:tr w:rsidR="00845F00" w:rsidRPr="0006017F" w:rsidTr="00B22541">
        <w:trPr>
          <w:trHeight w:val="3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23636,7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20775,3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44412,0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2861,4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1,14</w:t>
            </w:r>
          </w:p>
        </w:tc>
      </w:tr>
      <w:tr w:rsidR="00845F00" w:rsidRPr="0006017F" w:rsidTr="00B22541">
        <w:trPr>
          <w:trHeight w:val="94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абсолютный прирост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493,30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1632,20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2125,50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-1138,90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-0,22</w:t>
            </w:r>
          </w:p>
        </w:tc>
      </w:tr>
      <w:tr w:rsidR="00845F00" w:rsidRPr="0006017F" w:rsidTr="00B22541">
        <w:trPr>
          <w:trHeight w:val="94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темп прироста, 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14,62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-15,56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-10,71</w:t>
            </w:r>
          </w:p>
        </w:tc>
      </w:tr>
      <w:tr w:rsidR="00845F00" w:rsidRPr="0006017F" w:rsidTr="00B22541">
        <w:trPr>
          <w:trHeight w:val="94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601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Модель линии тренда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4FA1">
              <w:rPr>
                <w:rFonts w:eastAsia="Times#20New#20Roman"/>
                <w:sz w:val="22"/>
                <w:szCs w:val="22"/>
                <w:lang w:eastAsia="ru-RU"/>
              </w:rPr>
              <w:t>y = -1991,6t</w:t>
            </w:r>
            <w:r w:rsidRPr="00E14FA1">
              <w:rPr>
                <w:rFonts w:eastAsia="Times#20New#20Roman"/>
                <w:sz w:val="22"/>
                <w:szCs w:val="22"/>
                <w:vertAlign w:val="superscript"/>
                <w:lang w:eastAsia="ru-RU"/>
              </w:rPr>
              <w:t>2</w:t>
            </w:r>
            <w:r w:rsidRPr="00E14FA1">
              <w:rPr>
                <w:rFonts w:eastAsia="Times#20New#20Roman"/>
                <w:sz w:val="22"/>
                <w:szCs w:val="22"/>
                <w:lang w:eastAsia="ru-RU"/>
              </w:rPr>
              <w:t xml:space="preserve"> + 23860t - 7333,3,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4FA1">
              <w:rPr>
                <w:rFonts w:eastAsia="Times#20New#20Roman"/>
                <w:sz w:val="22"/>
                <w:szCs w:val="22"/>
                <w:lang w:eastAsia="ru-RU"/>
              </w:rPr>
              <w:t>у = 633,04х</w:t>
            </w:r>
            <w:proofErr w:type="gramStart"/>
            <w:r w:rsidRPr="00E14FA1">
              <w:rPr>
                <w:rFonts w:eastAsia="Times#20New#20Roman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E14FA1">
              <w:rPr>
                <w:rFonts w:eastAsia="Times#20New#20Roman"/>
                <w:sz w:val="22"/>
                <w:szCs w:val="22"/>
                <w:lang w:eastAsia="ru-RU"/>
              </w:rPr>
              <w:t xml:space="preserve"> + 9121,5х - 6489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4FA1">
              <w:rPr>
                <w:rFonts w:eastAsia="Times#20New#20Roman"/>
                <w:sz w:val="22"/>
                <w:szCs w:val="22"/>
                <w:lang w:eastAsia="ru-RU"/>
              </w:rPr>
              <w:t>y = -2624,6х</w:t>
            </w:r>
            <w:proofErr w:type="gramStart"/>
            <w:r w:rsidRPr="00E14FA1">
              <w:rPr>
                <w:rFonts w:eastAsia="Times#20New#20Roman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E14FA1">
              <w:rPr>
                <w:rFonts w:eastAsia="Times#20New#20Roman"/>
                <w:sz w:val="22"/>
                <w:szCs w:val="22"/>
                <w:lang w:eastAsia="ru-RU"/>
              </w:rPr>
              <w:t xml:space="preserve"> +32981х - 13822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4FA1">
              <w:rPr>
                <w:rFonts w:eastAsia="Times#20New#20Roman"/>
                <w:sz w:val="22"/>
                <w:szCs w:val="22"/>
                <w:lang w:eastAsia="ru-RU"/>
              </w:rPr>
              <w:t>y = -1258х</w:t>
            </w:r>
            <w:r w:rsidRPr="00E14FA1">
              <w:rPr>
                <w:rFonts w:eastAsia="Times#20New#20Roman"/>
                <w:sz w:val="22"/>
                <w:szCs w:val="22"/>
                <w:vertAlign w:val="superscript"/>
                <w:lang w:eastAsia="ru-RU"/>
              </w:rPr>
              <w:t>2</w:t>
            </w:r>
            <w:r w:rsidRPr="00E14FA1">
              <w:rPr>
                <w:rFonts w:eastAsia="Times#20New#20Roman"/>
                <w:sz w:val="22"/>
                <w:szCs w:val="22"/>
                <w:lang w:eastAsia="ru-RU"/>
              </w:rPr>
              <w:t xml:space="preserve"> + 14738х-844,33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F00" w:rsidRPr="0006017F" w:rsidRDefault="00845F00" w:rsidP="00B2254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4FA1">
              <w:rPr>
                <w:rFonts w:eastAsia="Times#20New#20Roman"/>
                <w:sz w:val="22"/>
                <w:szCs w:val="22"/>
                <w:lang w:eastAsia="ru-RU"/>
              </w:rPr>
              <w:t>y = -0,0161х</w:t>
            </w:r>
            <w:proofErr w:type="gramStart"/>
            <w:r w:rsidRPr="00E14FA1">
              <w:rPr>
                <w:rFonts w:eastAsia="Times#20New#20Roman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E14FA1">
              <w:rPr>
                <w:rFonts w:eastAsia="Times#20New#20Roman"/>
                <w:sz w:val="22"/>
                <w:szCs w:val="22"/>
                <w:lang w:eastAsia="ru-RU"/>
              </w:rPr>
              <w:t xml:space="preserve"> – 0,0461х + 3,5621</w:t>
            </w:r>
          </w:p>
        </w:tc>
      </w:tr>
    </w:tbl>
    <w:p w:rsidR="00845F00" w:rsidRPr="006514CB" w:rsidRDefault="00845F00" w:rsidP="00845F00">
      <w:pPr>
        <w:jc w:val="both"/>
        <w:rPr>
          <w:rFonts w:eastAsia="Times#20New#20Roman"/>
          <w:color w:val="FF0000"/>
          <w:lang w:eastAsia="ru-RU"/>
        </w:rPr>
      </w:pPr>
    </w:p>
    <w:p w:rsidR="00845F00" w:rsidRPr="008053A6" w:rsidRDefault="00845F00" w:rsidP="00845F0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53A6">
        <w:rPr>
          <w:sz w:val="28"/>
          <w:szCs w:val="28"/>
        </w:rPr>
        <w:t xml:space="preserve">На протяжении анализируемого периода прослеживается тенденция снижения сальдо международного инвестиционного сотрудничества российских нефтегазовых компаний относительно уровня 2008г. Ежегодное сокращение инвестиционного сальдо составило 15,56% (1138,92 млн. долл.). Динамика  инвестиционного международного оборота в нефтегазовом секторе страны  описывается положительной тенденцией роста на 6,46% (2125,5 млн. долл.). </w:t>
      </w:r>
    </w:p>
    <w:p w:rsidR="00845F00" w:rsidRPr="008053A6" w:rsidRDefault="00845F00" w:rsidP="00845F00">
      <w:pPr>
        <w:jc w:val="both"/>
      </w:pPr>
      <w:r w:rsidRPr="008053A6">
        <w:rPr>
          <w:rFonts w:eastAsia="Times New Roman"/>
        </w:rPr>
        <w:lastRenderedPageBreak/>
        <w:t xml:space="preserve">При этом динамика </w:t>
      </w:r>
      <w:r w:rsidRPr="008053A6">
        <w:t>коэффициента покрытия импорта иностранных инвестиций экспортом имеет тенденцию к снижению. В среднем за год коэффициент покрытия импорта экспортом снижался на 10,7% (2,24 д. ед.). Такая динамика показателя свидетельствует о постепенном замещении экспорта инвестиций нефтегазовых компаний, т</w:t>
      </w:r>
      <w:r w:rsidR="001C790B">
        <w:t xml:space="preserve">о есть </w:t>
      </w:r>
      <w:r w:rsidRPr="008053A6">
        <w:t xml:space="preserve">о смещении инвестиционного сотрудничества в сторону прилива капитала. </w:t>
      </w:r>
    </w:p>
    <w:p w:rsidR="00845F00" w:rsidRPr="008053A6" w:rsidRDefault="00845F00" w:rsidP="00845F00">
      <w:pPr>
        <w:jc w:val="both"/>
        <w:rPr>
          <w:spacing w:val="2"/>
          <w:shd w:val="clear" w:color="auto" w:fill="FFFFFF"/>
        </w:rPr>
      </w:pPr>
      <w:r w:rsidRPr="008053A6">
        <w:t xml:space="preserve">Соответственно, для увеличения экспорта инвестиций нефтегазовых компаний необходима разработка мер, направленных на повышение финансовых возможностей и активизацию инвестиционной деятельности отраслевых компаний. </w:t>
      </w:r>
      <w:proofErr w:type="gramStart"/>
      <w:r w:rsidRPr="008053A6">
        <w:t>К числу таких мер можно отнести разработку и реализацию программ и комплексов мероприятий, направленных на развитие инвестиционного потенциала компаний, установление и развитие внешних контактов Правительства</w:t>
      </w:r>
      <w:r>
        <w:t xml:space="preserve"> страны </w:t>
      </w:r>
      <w:r w:rsidRPr="008053A6">
        <w:t>и хозяйствующих субъектов нефтегазового сектора и др. Все это позволит</w:t>
      </w:r>
      <w:r w:rsidRPr="008053A6">
        <w:rPr>
          <w:spacing w:val="2"/>
          <w:shd w:val="clear" w:color="auto" w:fill="FFFFFF"/>
        </w:rPr>
        <w:t xml:space="preserve"> повысить инвестиционный потенциал и активность компаний</w:t>
      </w:r>
      <w:r>
        <w:rPr>
          <w:spacing w:val="2"/>
          <w:shd w:val="clear" w:color="auto" w:fill="FFFFFF"/>
        </w:rPr>
        <w:t>,</w:t>
      </w:r>
      <w:r w:rsidRPr="008053A6">
        <w:rPr>
          <w:spacing w:val="2"/>
          <w:shd w:val="clear" w:color="auto" w:fill="FFFFFF"/>
        </w:rPr>
        <w:t xml:space="preserve"> и, соответственно, эффективность международного инвестиционного сотрудничества нефтегазового сектора России.</w:t>
      </w:r>
      <w:proofErr w:type="gramEnd"/>
    </w:p>
    <w:p w:rsidR="00DB7586" w:rsidRDefault="00DB7586" w:rsidP="008812AD">
      <w:pPr>
        <w:jc w:val="both"/>
      </w:pPr>
    </w:p>
    <w:p w:rsidR="00DB7586" w:rsidRDefault="00DB7586" w:rsidP="00DB7586">
      <w:pPr>
        <w:jc w:val="both"/>
        <w:rPr>
          <w:b/>
        </w:rPr>
      </w:pPr>
    </w:p>
    <w:p w:rsidR="00DB7586" w:rsidRDefault="00DB7586" w:rsidP="00DB7586">
      <w:pPr>
        <w:jc w:val="both"/>
      </w:pPr>
      <w:r w:rsidRPr="00DB7586">
        <w:rPr>
          <w:b/>
        </w:rPr>
        <w:t>Обсуждение</w:t>
      </w:r>
      <w:r>
        <w:t xml:space="preserve"> </w:t>
      </w:r>
    </w:p>
    <w:p w:rsidR="008812AD" w:rsidRPr="008C3BDD" w:rsidRDefault="008812AD" w:rsidP="008812AD">
      <w:pPr>
        <w:jc w:val="both"/>
      </w:pPr>
      <w:r w:rsidRPr="008C3BDD">
        <w:t>Инвестиционный процесс в энергетическом секторе требует длительного срока вложений и достижения окупаемости затрат, он чрезвычайно зависит от колебаний цен на энергоносители, а также от состояния мировой экономики в целом.</w:t>
      </w:r>
    </w:p>
    <w:p w:rsidR="008812AD" w:rsidRDefault="008812AD" w:rsidP="008812AD">
      <w:pPr>
        <w:jc w:val="both"/>
      </w:pPr>
      <w:r w:rsidRPr="008C3BDD">
        <w:t>Иностранные инвестиции частично могут решить проблему недофинансирования, так как собственных средств в отрасли недостаточно.</w:t>
      </w:r>
      <w:r>
        <w:t xml:space="preserve"> </w:t>
      </w:r>
      <w:r w:rsidRPr="00124EC7">
        <w:t>Доля портфельных инвестиций в нефтегазовый комплекс составляет около 1 % в общем объеме иностранных инвестиций в отрасль, что связано с низкой привлекательностью небольших пакетов акций российских нефтегазовых компаний относительно прямых инвестиций</w:t>
      </w:r>
      <w:r>
        <w:t xml:space="preserve">, </w:t>
      </w:r>
      <w:r w:rsidRPr="00124EC7">
        <w:t xml:space="preserve">дающих возможность в </w:t>
      </w:r>
      <w:r w:rsidRPr="00124EC7">
        <w:lastRenderedPageBreak/>
        <w:t>управлении бизнесом. Кроме того, в сложившейся в России практике ведения бизнеса часто имеет место ущемление прав миноритарных акционеров.</w:t>
      </w:r>
    </w:p>
    <w:p w:rsidR="008812AD" w:rsidRPr="00CF3719" w:rsidRDefault="008812AD" w:rsidP="008812AD">
      <w:pPr>
        <w:jc w:val="both"/>
      </w:pPr>
      <w:r w:rsidRPr="00CF3719">
        <w:t>Другая часть иностранных инвестиций приходится на кредиты. В условиях высокой стоимости и ограниченности кредитных ресурсов в российских банках нефтегазовые компании усиленно привлекали иностранные кредиты под будущие доходы, связанные с продажей нефти и газа на международных рынках.</w:t>
      </w:r>
    </w:p>
    <w:p w:rsidR="008812AD" w:rsidRDefault="008812AD" w:rsidP="008812AD">
      <w:pPr>
        <w:jc w:val="both"/>
        <w:rPr>
          <w:noProof/>
          <w:lang w:val="ro-RO"/>
        </w:rPr>
      </w:pPr>
      <w:r w:rsidRPr="00310FA0">
        <w:rPr>
          <w:noProof/>
          <w:lang w:val="ro-RO"/>
        </w:rPr>
        <w:t xml:space="preserve">Доля зарубежных капиталовложений в нефтегазовый комплекс,  т.е. в добычу и переработку нефти и газа, за период </w:t>
      </w:r>
      <w:r w:rsidRPr="002C5E10">
        <w:rPr>
          <w:noProof/>
          <w:lang w:val="ro-RO"/>
        </w:rPr>
        <w:t>2000-2010</w:t>
      </w:r>
      <w:r w:rsidRPr="00310FA0">
        <w:rPr>
          <w:noProof/>
          <w:lang w:val="ro-RO"/>
        </w:rPr>
        <w:t xml:space="preserve"> годов увеличилась </w:t>
      </w:r>
      <w:r w:rsidRPr="002C5E10">
        <w:rPr>
          <w:noProof/>
          <w:lang w:val="ro-RO"/>
        </w:rPr>
        <w:t>с 6 до 37 %,</w:t>
      </w:r>
      <w:r>
        <w:rPr>
          <w:noProof/>
        </w:rPr>
        <w:t xml:space="preserve"> затем этот показатель не менялся значительно</w:t>
      </w:r>
      <w:r w:rsidRPr="00310FA0">
        <w:rPr>
          <w:noProof/>
          <w:lang w:val="ro-RO"/>
        </w:rPr>
        <w:t xml:space="preserve"> т. е. более половины всех инвестиций, поступающих в Россию, приходится на нефтегазовый комплекс.</w:t>
      </w:r>
    </w:p>
    <w:p w:rsidR="008812AD" w:rsidRDefault="008812AD" w:rsidP="008812AD">
      <w:pPr>
        <w:jc w:val="both"/>
      </w:pPr>
      <w:proofErr w:type="gramStart"/>
      <w:r w:rsidRPr="00CF3719">
        <w:t>До недавнего времени крупнейшие российские нефтегазовые компании активно реализовали совместные проекты с иностранными партнерами в России и за рубежом, а также привлекали финансовые ресурсы путем размещения своих ценных бумаг на зарубежных и международных фондовых рынках (в условиях кризиса нефтяной отрасли и западных санкций происходит снижение поступления финансовых ресурсов с зарубежных рынков).</w:t>
      </w:r>
      <w:proofErr w:type="gramEnd"/>
    </w:p>
    <w:p w:rsidR="008812AD" w:rsidRPr="00BE1BD1" w:rsidRDefault="008812AD" w:rsidP="008812AD">
      <w:pPr>
        <w:jc w:val="both"/>
        <w:rPr>
          <w:noProof/>
          <w:highlight w:val="yellow"/>
          <w:lang w:val="ro-RO"/>
        </w:rPr>
      </w:pPr>
      <w:r w:rsidRPr="00C2503C">
        <w:t xml:space="preserve">Участие иностранных компаний в нефтегазовом бизнесе в качестве источника значительных капиталовложений </w:t>
      </w:r>
      <w:r>
        <w:t>также</w:t>
      </w:r>
      <w:r w:rsidRPr="00C2503C">
        <w:t xml:space="preserve"> актуально с возможностью привлечения технологий, позволяющих российским компаниям повысить эффективность собственного бизнеса в суровых природно-климатических и географических условиях (шельф северных морей). Кроме того, экспортируя основную часть своей продукции, российские компании заинтересованы в получении доступа к нефтегазовым активам в странах-потребителях.</w:t>
      </w:r>
    </w:p>
    <w:p w:rsidR="008812AD" w:rsidRPr="0029035D" w:rsidRDefault="008812AD" w:rsidP="008812AD">
      <w:pPr>
        <w:jc w:val="both"/>
        <w:rPr>
          <w:noProof/>
          <w:lang w:val="ro-RO"/>
        </w:rPr>
      </w:pPr>
      <w:bookmarkStart w:id="1" w:name="_Hlk512641334"/>
      <w:r w:rsidRPr="00EE0CFD">
        <w:rPr>
          <w:noProof/>
          <w:lang w:val="ro-RO"/>
        </w:rPr>
        <w:t xml:space="preserve">В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асто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я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щее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вре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я Ат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ичес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й 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 – ос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ное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апр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ие э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кспорт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а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нефт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нефтепро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ду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кто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в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из Росс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bookmarkEnd w:id="1"/>
      <w:r w:rsidRPr="00EE0CFD">
        <w:rPr>
          <w:noProof/>
          <w:lang w:val="ro-RO"/>
        </w:rPr>
        <w:t>, пост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а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которо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м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дост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г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 уро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я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ще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я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 пос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ие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го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ы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не у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ич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ютс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я. Спрос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а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нефт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ь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в </w:t>
      </w:r>
      <w:r w:rsidRPr="00EE0CFD">
        <w:rPr>
          <w:noProof/>
          <w:lang w:val="ro-RO"/>
        </w:rPr>
        <w:lastRenderedPageBreak/>
        <w:t>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вропе,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а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котору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ю пр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ихо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итс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я 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ло 80% э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кспорт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 росс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йс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й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нефт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и, про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ж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ает ст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г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ь,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а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 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я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де стр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 – Гер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и, Ве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кобр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и, Ит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и, Фр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ц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и, 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дер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ах, Бе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ь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г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др. – 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ж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аетс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я. 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 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ке Ю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ж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й 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вроп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ы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ибо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лее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ысо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а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куре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ц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я со сторо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 пост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щ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в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из Б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ж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го Восто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а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 Се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вер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й Афр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и,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а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 Ат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ичес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 побере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ж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ье США – со сторо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 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ы, З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ап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й Афр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 Ю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ж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й 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мер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и. Перспе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 Росс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 Ат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ичес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 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ке бу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дут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 ос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 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яз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ы с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ь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й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ш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 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же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м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доб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ыч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 Се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вер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м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море, что поз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ит у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ич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ь пост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 Се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вер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ну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ю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 З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ап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ну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ю 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вропу, пре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ж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де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все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го через Роттер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м. Кро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ме то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го,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необхо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мо по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дер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ж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ие пр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я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ых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нефтепро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ых пост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к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 НПЗ По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ь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ш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и, Гер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и, Бе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лорусс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и, Чех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и, 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и, Ве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гр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и,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 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же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мб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ых пост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к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 з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ы,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нтро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ируе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ые росс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йс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мп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я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и,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 Ру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и, Бо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г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и, Серб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и.</w:t>
      </w:r>
    </w:p>
    <w:p w:rsidR="008812AD" w:rsidRPr="002A3A5F" w:rsidRDefault="008812AD" w:rsidP="008812AD">
      <w:pPr>
        <w:jc w:val="both"/>
        <w:rPr>
          <w:noProof/>
          <w:lang w:val="ro-RO"/>
        </w:rPr>
      </w:pPr>
      <w:bookmarkStart w:id="2" w:name="_Hlk512641367"/>
      <w:r w:rsidRPr="00EE0CFD">
        <w:rPr>
          <w:noProof/>
          <w:lang w:val="ro-RO"/>
        </w:rPr>
        <w:t>До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госроч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й про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цесс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в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апр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верс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иф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ц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 э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кспорт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 э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нер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го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нос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ите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й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из Росс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 – з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ач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ите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ь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ное у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иче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ие пост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к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 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 стр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 АТР</w:t>
      </w:r>
      <w:bookmarkEnd w:id="2"/>
      <w:r w:rsidRPr="00EE0CFD">
        <w:rPr>
          <w:noProof/>
          <w:lang w:val="ro-RO"/>
        </w:rPr>
        <w:t>, пре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ж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де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все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го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 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й. В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ач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ле 2000-х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го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 про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исхо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ло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щ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ие пост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к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нефт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в КНР по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же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лез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й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доро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ге. С 2008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г. пост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ж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их у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г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доро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 (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а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ач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ь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 эт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апе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 ре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верс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 ре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ж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ме) ор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г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изо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ы по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нефтепро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ду ВСТО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же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лез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й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доро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ге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 порт Коз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ь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но (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 Пр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морс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м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ае),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а с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я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я 2011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г.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ач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ы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мерчес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ие трубопро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ые пост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нефт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 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й.</w:t>
      </w:r>
    </w:p>
    <w:p w:rsidR="008812AD" w:rsidRDefault="008812AD" w:rsidP="008812AD">
      <w:pPr>
        <w:shd w:val="clear" w:color="auto" w:fill="FFFFFF"/>
        <w:jc w:val="both"/>
        <w:rPr>
          <w:noProof/>
          <w:highlight w:val="yellow"/>
          <w:lang w:val="ro-RO"/>
        </w:rPr>
      </w:pPr>
      <w:r w:rsidRPr="00EE0CFD">
        <w:rPr>
          <w:noProof/>
          <w:lang w:val="ro-RO"/>
        </w:rPr>
        <w:t xml:space="preserve">В последнее </w:t>
      </w:r>
      <w:r w:rsidRPr="00D3313B">
        <w:rPr>
          <w:noProof/>
          <w:lang w:val="ro-RO"/>
        </w:rPr>
        <w:t>время</w:t>
      </w:r>
      <w:r w:rsidRPr="00EE0CFD">
        <w:rPr>
          <w:noProof/>
          <w:lang w:val="ro-RO"/>
        </w:rPr>
        <w:t xml:space="preserve"> су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щест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но со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я э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кспорт росс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йс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й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нефт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 стр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 б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ше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го СССР. Б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ы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из э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ксп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лу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ц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 уч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аст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нефтепро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д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 «Дру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жб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а»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в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апр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 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и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 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ы, со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ще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 тр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нз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ит через Бе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лорусс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ю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 По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ь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шу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 Гер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м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ю,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 т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же через Бе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лорусс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ю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 У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 xml:space="preserve">ну 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 С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ло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в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а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к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ю, Чех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ю, Ве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н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гр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и</w:t>
      </w:r>
      <w:r w:rsidRPr="00EE0CFD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EE0CFD">
        <w:rPr>
          <w:noProof/>
          <w:lang w:val="ro-RO"/>
        </w:rPr>
        <w:t>ю.</w:t>
      </w:r>
    </w:p>
    <w:p w:rsidR="008812AD" w:rsidRPr="00D3313B" w:rsidRDefault="008812AD" w:rsidP="008812AD">
      <w:pPr>
        <w:shd w:val="clear" w:color="auto" w:fill="FFFFFF"/>
        <w:jc w:val="both"/>
        <w:rPr>
          <w:noProof/>
          <w:lang w:val="ro-RO"/>
        </w:rPr>
      </w:pPr>
      <w:r w:rsidRPr="00D3313B">
        <w:rPr>
          <w:noProof/>
          <w:lang w:val="ro-RO"/>
        </w:rPr>
        <w:t>В ус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ях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верс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иф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ц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 э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кспорт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ых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шруто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в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 фор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иро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я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ых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це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нтро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в нефтегазового комплекса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 Восточ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й 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иб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 Д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ь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 Восто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ке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 пос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ие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го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 про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исхо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ит у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иче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ие пост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к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нефт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нефтепро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ду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кто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в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 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ихоо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й 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к –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круп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й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ш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й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 </w:t>
      </w:r>
      <w:r w:rsidRPr="00D3313B">
        <w:rPr>
          <w:noProof/>
          <w:lang w:val="ro-RO"/>
        </w:rPr>
        <w:lastRenderedPageBreak/>
        <w:t>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й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ич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но 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аз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ю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щ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йс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я 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 э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нер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го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нос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ите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й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в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ире,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юч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я стр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ы АТР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 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ихоо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кое побере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ж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ье. Доб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ыч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а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нефт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 ре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г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не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меет те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ц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ю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 со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ще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ю,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 потреб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ие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мпорт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из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дру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г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их ре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г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 б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ыстро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возр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аст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ает. Ос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ые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куре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 Росс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 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ихоо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 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ке – стр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 Б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ж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го Восто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а, 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ассто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я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я пост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к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из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котор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ых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 сре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м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 2 – 5 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аз пре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ш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ют прот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я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же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ност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ь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шруто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в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из З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ап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й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 Восточ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й 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иб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 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яз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ы с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допо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ите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ь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 тр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нспорт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 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 (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юч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я прохо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ж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ие через 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й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 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й з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ы, Б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аб-э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ь-М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дебс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й, Ор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музс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й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 М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й про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ы). Ос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ые по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куп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ате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 росс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йс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й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нефт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нефтепро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ду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кто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в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 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ихоо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м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апр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 – К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й, Коре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я, Япо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я, 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д. В б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ж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й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ш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ие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дес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ят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лет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я 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 перспе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 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 бу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дет ост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ьс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я К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й, 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вре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но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жет б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ь з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ач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ите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ь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но 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ас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ш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ире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 э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кспорт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 Коре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ю,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 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же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 Ф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ипп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ы, 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л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д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 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ьет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м, ор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г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изо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ы пост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а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к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 xml:space="preserve">и 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в 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до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нез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и</w:t>
      </w:r>
      <w:r w:rsidRPr="00D3313B">
        <w:rPr>
          <w:rFonts w:ascii="Estrangelo Edessa" w:hAnsi="Estrangelo Edessa" w:cs="Estrangelo Edessa"/>
          <w:noProof/>
          <w:color w:val="FFFFFF"/>
          <w:spacing w:val="-400"/>
          <w:lang w:val="ro-RO"/>
        </w:rPr>
        <w:t>݇</w:t>
      </w:r>
      <w:r w:rsidRPr="00D3313B">
        <w:rPr>
          <w:noProof/>
          <w:lang w:val="ro-RO"/>
        </w:rPr>
        <w:t>ю.</w:t>
      </w:r>
    </w:p>
    <w:p w:rsidR="008812AD" w:rsidRDefault="008812AD" w:rsidP="008812AD">
      <w:pPr>
        <w:shd w:val="clear" w:color="auto" w:fill="FFFFFF"/>
        <w:jc w:val="both"/>
      </w:pPr>
      <w:r w:rsidRPr="006A0D62">
        <w:rPr>
          <w:rFonts w:eastAsia="TimesNewRomanPSMT"/>
        </w:rPr>
        <w:t xml:space="preserve">Следует отметить, что </w:t>
      </w:r>
      <w:r w:rsidRPr="006A0D62">
        <w:t>Россия в основном экспортирует первичные энергетические материалы за рубеж, а переработка осуществляется в странах-импортерах.</w:t>
      </w:r>
    </w:p>
    <w:p w:rsidR="008812AD" w:rsidRPr="004F1DDF" w:rsidRDefault="008812AD" w:rsidP="008812AD">
      <w:pPr>
        <w:shd w:val="clear" w:color="auto" w:fill="FFFFFF"/>
        <w:jc w:val="both"/>
      </w:pPr>
      <w:r w:rsidRPr="009E2167">
        <w:t>Российские нефтяные компании активно использует механизмы международного партнерства в реализации собственных проектов на территории России и за ее пределами.</w:t>
      </w:r>
      <w:r>
        <w:t xml:space="preserve"> </w:t>
      </w:r>
      <w:r w:rsidRPr="007C53C7">
        <w:rPr>
          <w:color w:val="000000"/>
        </w:rPr>
        <w:t>География присутствия российских нефтегазовых компаний за рубежом на сегодняшний день не так широка</w:t>
      </w:r>
      <w:r>
        <w:rPr>
          <w:color w:val="000000"/>
        </w:rPr>
        <w:t>.</w:t>
      </w:r>
      <w:r w:rsidRPr="007C53C7">
        <w:rPr>
          <w:color w:val="000000"/>
        </w:rPr>
        <w:t xml:space="preserve"> Однако сегодня есть приоритетные регионы в мире, где расширя</w:t>
      </w:r>
      <w:r>
        <w:rPr>
          <w:color w:val="000000"/>
        </w:rPr>
        <w:t>ется</w:t>
      </w:r>
      <w:r w:rsidRPr="007C53C7">
        <w:rPr>
          <w:color w:val="000000"/>
        </w:rPr>
        <w:t xml:space="preserve"> российское присутствие. </w:t>
      </w:r>
      <w:proofErr w:type="gramStart"/>
      <w:r w:rsidRPr="007C53C7">
        <w:rPr>
          <w:color w:val="000000"/>
        </w:rPr>
        <w:t xml:space="preserve">Среди стран СНГ это в первую очередь Казахстан и Туркмения; в Латинской Америке - Венесуэла, Бразилия, Аргентина, Куба; на </w:t>
      </w:r>
      <w:r>
        <w:rPr>
          <w:color w:val="000000"/>
        </w:rPr>
        <w:t>А</w:t>
      </w:r>
      <w:r w:rsidRPr="007C53C7">
        <w:rPr>
          <w:color w:val="000000"/>
        </w:rPr>
        <w:t>фриканском континенте - Алжир,</w:t>
      </w:r>
      <w:r>
        <w:rPr>
          <w:color w:val="000000"/>
        </w:rPr>
        <w:t xml:space="preserve"> Египет,</w:t>
      </w:r>
      <w:r w:rsidRPr="007C53C7">
        <w:rPr>
          <w:color w:val="000000"/>
        </w:rPr>
        <w:t xml:space="preserve"> Нигерия, Ангола; на Ближнем Востоке </w:t>
      </w:r>
      <w:r>
        <w:rPr>
          <w:color w:val="000000"/>
        </w:rPr>
        <w:t>–</w:t>
      </w:r>
      <w:r w:rsidRPr="007C53C7">
        <w:rPr>
          <w:color w:val="000000"/>
        </w:rPr>
        <w:t xml:space="preserve"> </w:t>
      </w:r>
      <w:r>
        <w:rPr>
          <w:color w:val="000000"/>
        </w:rPr>
        <w:t>Иран, Ирак и Иракский Курдистан</w:t>
      </w:r>
      <w:r w:rsidRPr="007C53C7">
        <w:rPr>
          <w:color w:val="000000"/>
        </w:rPr>
        <w:t xml:space="preserve">; в Центральной и Юго-Восточной Азии </w:t>
      </w:r>
      <w:r>
        <w:rPr>
          <w:color w:val="000000"/>
        </w:rPr>
        <w:t>–</w:t>
      </w:r>
      <w:r w:rsidRPr="007C53C7">
        <w:rPr>
          <w:color w:val="000000"/>
        </w:rPr>
        <w:t xml:space="preserve"> Вьетнам</w:t>
      </w:r>
      <w:r>
        <w:rPr>
          <w:color w:val="000000"/>
        </w:rPr>
        <w:t>, Индонезия, Индия и Китай</w:t>
      </w:r>
      <w:r w:rsidRPr="007C53C7">
        <w:rPr>
          <w:color w:val="000000"/>
        </w:rPr>
        <w:t>.</w:t>
      </w:r>
      <w:proofErr w:type="gramEnd"/>
      <w:r>
        <w:rPr>
          <w:color w:val="000000"/>
        </w:rPr>
        <w:t xml:space="preserve"> На европейском континенте российские компании в основном участвуют в проектах сегмента Переработка и Сбыт, за исключением, компании </w:t>
      </w:r>
      <w:proofErr w:type="spellStart"/>
      <w:r>
        <w:rPr>
          <w:color w:val="000000"/>
        </w:rPr>
        <w:t>Газпромнефть</w:t>
      </w:r>
      <w:proofErr w:type="spellEnd"/>
      <w:r>
        <w:rPr>
          <w:color w:val="000000"/>
        </w:rPr>
        <w:t xml:space="preserve">, которая ведет добычу нефти в республике Сербия через компанию </w:t>
      </w:r>
      <w:r>
        <w:rPr>
          <w:color w:val="000000"/>
          <w:lang w:val="en-US"/>
        </w:rPr>
        <w:t>NIS</w:t>
      </w:r>
      <w:r>
        <w:rPr>
          <w:color w:val="000000"/>
        </w:rPr>
        <w:t xml:space="preserve">, а также </w:t>
      </w:r>
      <w:r>
        <w:rPr>
          <w:color w:val="000000"/>
        </w:rPr>
        <w:lastRenderedPageBreak/>
        <w:t>геологоразведку в Венгрии и Румынии</w:t>
      </w:r>
      <w:r w:rsidRPr="001B7F09">
        <w:rPr>
          <w:color w:val="000000"/>
        </w:rPr>
        <w:t xml:space="preserve">. </w:t>
      </w:r>
      <w:r>
        <w:rPr>
          <w:color w:val="000000"/>
        </w:rPr>
        <w:t xml:space="preserve">Также компания Газпром имеет доли в ряде проектов по добыче газа в Северном море. Ярко выделяется среди российских нефтяных гигантов компания Сургутнефтегаз, которая не ведет свою деятельность за пределами Российской Федерации, хотя на счетах компании накоплен значительный объем денежных средств – около 2 </w:t>
      </w:r>
      <w:proofErr w:type="gramStart"/>
      <w:r>
        <w:rPr>
          <w:color w:val="000000"/>
        </w:rPr>
        <w:t>трлн</w:t>
      </w:r>
      <w:proofErr w:type="gramEnd"/>
      <w:r>
        <w:rPr>
          <w:color w:val="000000"/>
        </w:rPr>
        <w:t xml:space="preserve"> руб. Это может объясняться стратегией компанией, которая позиционирует себя российским </w:t>
      </w:r>
      <w:r w:rsidRPr="004F1DDF">
        <w:t xml:space="preserve">игроком. Даже у одного из лидеров зарубежной экспансии </w:t>
      </w:r>
      <w:r w:rsidR="00C80267">
        <w:t>–</w:t>
      </w:r>
      <w:r w:rsidRPr="004F1DDF">
        <w:t xml:space="preserve"> </w:t>
      </w:r>
      <w:r w:rsidR="00C80267">
        <w:t>ПАО «ЛУКОЙЛ</w:t>
      </w:r>
      <w:r w:rsidRPr="004F1DDF">
        <w:t>» - доля нефти, добываемой за рубежом, составляет менее 10%. Для сравнения, у нефтегазовых компаний США заграничная доля равна 50-80%.</w:t>
      </w:r>
    </w:p>
    <w:p w:rsidR="008812AD" w:rsidRDefault="008812AD" w:rsidP="008812AD">
      <w:pPr>
        <w:shd w:val="clear" w:color="auto" w:fill="FFFFFF"/>
        <w:jc w:val="both"/>
        <w:rPr>
          <w:color w:val="000000"/>
        </w:rPr>
      </w:pPr>
      <w:r w:rsidRPr="007B40A2">
        <w:rPr>
          <w:color w:val="000000"/>
        </w:rPr>
        <w:t xml:space="preserve">Важно подчеркнуть, что для выхода российских нефтегазовых компаний в эти страны необходима государственная поддержка в виде межправительственных договоренностей, предоставления государственных гарантий российских инвестиций, помощи компаниям со стороны наших </w:t>
      </w:r>
      <w:proofErr w:type="spellStart"/>
      <w:r w:rsidRPr="007B40A2">
        <w:rPr>
          <w:color w:val="000000"/>
        </w:rPr>
        <w:t>госпредставительств</w:t>
      </w:r>
      <w:proofErr w:type="spellEnd"/>
      <w:r w:rsidRPr="007B40A2">
        <w:rPr>
          <w:color w:val="000000"/>
        </w:rPr>
        <w:t xml:space="preserve"> в странах, представляющих интерес. Существенную помощь развитию промышленного сотрудничества также должна оказывать информационная поддержка и развитие социокультурных связей между странами.</w:t>
      </w:r>
    </w:p>
    <w:p w:rsidR="008812AD" w:rsidRDefault="008812AD" w:rsidP="008812AD">
      <w:pPr>
        <w:jc w:val="both"/>
      </w:pPr>
      <w:r w:rsidRPr="00EA782B">
        <w:rPr>
          <w:color w:val="000000"/>
        </w:rPr>
        <w:t>Стратегия развития российских компаний также во многом понятна и логична. Если иностранные концерны стремятся получить доступ к ресурсам и войти в проекты по разведке и добыче на российской территории, то для россиян важно выйти на рынок конечного потребителя и стать акционерами проектов по переработке в основных регионах сбыта углеводородов. Поэтому акцент делается на скупке и строительстве за рубежом нефтеперерабатывающих заводов, заправочных станций, подземных газохранилищ, газораспределительных сетей и даже электрогенерирующих активов</w:t>
      </w:r>
      <w:r w:rsidRPr="00F3136C">
        <w:t xml:space="preserve">. Российские инвестиции в зарубежную переработку и сбыт нефти и газа следует признать более успешными и значимыми, чем в сфере геологоразведки и добычи. Российские потоки нефтегазовых капиталов в </w:t>
      </w:r>
      <w:r w:rsidRPr="00F3136C">
        <w:lastRenderedPageBreak/>
        <w:t>основном повторяют экспортные потоки российской нефти, нефтепродуктов и газа.</w:t>
      </w:r>
    </w:p>
    <w:p w:rsidR="008812AD" w:rsidRPr="00097BEA" w:rsidRDefault="008812AD" w:rsidP="008812AD">
      <w:pPr>
        <w:jc w:val="both"/>
        <w:rPr>
          <w:spacing w:val="2"/>
          <w:shd w:val="clear" w:color="auto" w:fill="FFFFFF"/>
        </w:rPr>
      </w:pPr>
      <w:r w:rsidRPr="00097BEA">
        <w:rPr>
          <w:spacing w:val="2"/>
          <w:shd w:val="clear" w:color="auto" w:fill="FFFFFF"/>
        </w:rPr>
        <w:t xml:space="preserve">Заключительным этапом экономико-статистического </w:t>
      </w:r>
      <w:proofErr w:type="gramStart"/>
      <w:r w:rsidRPr="00097BEA">
        <w:rPr>
          <w:spacing w:val="2"/>
          <w:shd w:val="clear" w:color="auto" w:fill="FFFFFF"/>
        </w:rPr>
        <w:t xml:space="preserve">анализа развития </w:t>
      </w:r>
      <w:r w:rsidRPr="008053A6">
        <w:rPr>
          <w:spacing w:val="2"/>
          <w:shd w:val="clear" w:color="auto" w:fill="FFFFFF"/>
        </w:rPr>
        <w:t>международного инвестиционного сотрудничества нефтегазового сектора России</w:t>
      </w:r>
      <w:proofErr w:type="gramEnd"/>
      <w:r w:rsidRPr="00097BEA">
        <w:rPr>
          <w:spacing w:val="2"/>
          <w:shd w:val="clear" w:color="auto" w:fill="FFFFFF"/>
        </w:rPr>
        <w:t xml:space="preserve"> является оценка прогноза показателей развития инвестиционного партнерства (объем экспорта и импорта инвестиций, инвестиционный оборот, сальдо инвестиционного сотрудничества, коэффициент покрытия импортом инвестиции экспорта) на период с 2018 по 2020гг. различными способами.</w:t>
      </w:r>
    </w:p>
    <w:p w:rsidR="008812AD" w:rsidRPr="00097BEA" w:rsidRDefault="008812AD" w:rsidP="008812AD">
      <w:pPr>
        <w:jc w:val="both"/>
        <w:rPr>
          <w:spacing w:val="2"/>
          <w:shd w:val="clear" w:color="auto" w:fill="FFFFFF"/>
        </w:rPr>
      </w:pPr>
      <w:r w:rsidRPr="00097BEA">
        <w:rPr>
          <w:spacing w:val="2"/>
          <w:shd w:val="clear" w:color="auto" w:fill="FFFFFF"/>
        </w:rPr>
        <w:t xml:space="preserve">Исходя из имеющихся данных, можно провести статистический прогноз основных </w:t>
      </w:r>
      <w:proofErr w:type="gramStart"/>
      <w:r w:rsidRPr="00097BEA">
        <w:rPr>
          <w:spacing w:val="2"/>
          <w:shd w:val="clear" w:color="auto" w:fill="FFFFFF"/>
        </w:rPr>
        <w:t xml:space="preserve">показателей развития </w:t>
      </w:r>
      <w:r w:rsidRPr="008053A6">
        <w:rPr>
          <w:spacing w:val="2"/>
          <w:shd w:val="clear" w:color="auto" w:fill="FFFFFF"/>
        </w:rPr>
        <w:t xml:space="preserve">международного инвестиционного сотрудничества нефтегазового сектора </w:t>
      </w:r>
      <w:r>
        <w:rPr>
          <w:spacing w:val="2"/>
          <w:shd w:val="clear" w:color="auto" w:fill="FFFFFF"/>
        </w:rPr>
        <w:t>страны</w:t>
      </w:r>
      <w:proofErr w:type="gramEnd"/>
      <w:r w:rsidRPr="00097BEA">
        <w:rPr>
          <w:spacing w:val="2"/>
          <w:shd w:val="clear" w:color="auto" w:fill="FFFFFF"/>
        </w:rPr>
        <w:t xml:space="preserve"> методами экстраполяции и регрессионной зависимости</w:t>
      </w:r>
      <w:r>
        <w:rPr>
          <w:spacing w:val="2"/>
          <w:shd w:val="clear" w:color="auto" w:fill="FFFFFF"/>
        </w:rPr>
        <w:t xml:space="preserve"> (см. рис. 7).</w:t>
      </w:r>
      <w:r w:rsidRPr="00097BEA">
        <w:rPr>
          <w:spacing w:val="2"/>
          <w:shd w:val="clear" w:color="auto" w:fill="FFFFFF"/>
        </w:rPr>
        <w:t xml:space="preserve"> </w:t>
      </w:r>
    </w:p>
    <w:p w:rsidR="008812AD" w:rsidRDefault="008812AD" w:rsidP="008812AD">
      <w:pPr>
        <w:jc w:val="both"/>
      </w:pPr>
      <w:r>
        <w:rPr>
          <w:spacing w:val="2"/>
          <w:shd w:val="clear" w:color="auto" w:fill="FFFFFF"/>
        </w:rPr>
        <w:t xml:space="preserve">Как видно из представленного рисунка, при условии </w:t>
      </w:r>
      <w:proofErr w:type="gramStart"/>
      <w:r>
        <w:rPr>
          <w:spacing w:val="2"/>
          <w:shd w:val="clear" w:color="auto" w:fill="FFFFFF"/>
        </w:rPr>
        <w:t xml:space="preserve">сохранения тенденции развития </w:t>
      </w:r>
      <w:r w:rsidRPr="00EC603B">
        <w:t>международного инвестиционного сотрудничества нефтегазовых компаний</w:t>
      </w:r>
      <w:proofErr w:type="gramEnd"/>
      <w:r w:rsidRPr="00EC603B">
        <w:t xml:space="preserve"> России</w:t>
      </w:r>
      <w:r>
        <w:t xml:space="preserve">, в ближайшей перспективе ожидается их интенсификация. </w:t>
      </w:r>
    </w:p>
    <w:p w:rsidR="008812AD" w:rsidRPr="001E7BE4" w:rsidRDefault="008812AD" w:rsidP="008812AD">
      <w:pPr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1ED6A71" wp14:editId="3C196916">
            <wp:extent cx="5286375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12AD" w:rsidRPr="00EC603B" w:rsidRDefault="008812AD" w:rsidP="008812AD">
      <w:pPr>
        <w:jc w:val="center"/>
        <w:rPr>
          <w:rFonts w:eastAsia="Times#20New#20Roman"/>
          <w:lang w:eastAsia="ru-RU"/>
        </w:rPr>
      </w:pPr>
      <w:r w:rsidRPr="00EC603B">
        <w:rPr>
          <w:rFonts w:eastAsia="Times#20New#20Roman"/>
          <w:lang w:eastAsia="ru-RU"/>
        </w:rPr>
        <w:t xml:space="preserve">Рисунок </w:t>
      </w:r>
      <w:r>
        <w:rPr>
          <w:rFonts w:eastAsia="Times#20New#20Roman"/>
          <w:lang w:eastAsia="ru-RU"/>
        </w:rPr>
        <w:t>7</w:t>
      </w:r>
      <w:r w:rsidRPr="00EC603B">
        <w:rPr>
          <w:rFonts w:eastAsia="Times#20New#20Roman"/>
          <w:lang w:eastAsia="ru-RU"/>
        </w:rPr>
        <w:t xml:space="preserve"> - </w:t>
      </w:r>
      <w:r w:rsidRPr="00EC603B">
        <w:t>Прогнозные показатели развития международного инвестиционного сотрудничества нефтегазовых компаний России</w:t>
      </w:r>
      <w:r>
        <w:t>, млн. долл.</w:t>
      </w:r>
    </w:p>
    <w:p w:rsidR="00C80267" w:rsidRDefault="00C80267" w:rsidP="008812AD">
      <w:pPr>
        <w:jc w:val="both"/>
      </w:pPr>
    </w:p>
    <w:p w:rsidR="00E15A6F" w:rsidRPr="002A26FD" w:rsidRDefault="00E15A6F" w:rsidP="008812AD">
      <w:pPr>
        <w:jc w:val="both"/>
      </w:pPr>
      <w:r w:rsidRPr="002A26FD">
        <w:lastRenderedPageBreak/>
        <w:t xml:space="preserve">Изучение </w:t>
      </w:r>
      <w:proofErr w:type="gramStart"/>
      <w:r w:rsidRPr="002A26FD">
        <w:t>показателей состояния развития международного инвестиционного сотрудничества российских нефтегазовых компаний</w:t>
      </w:r>
      <w:proofErr w:type="gramEnd"/>
      <w:r w:rsidRPr="002A26FD">
        <w:t xml:space="preserve"> позволило выявить, что уровень международного сотрудничества невысок на современном этапе развития. Это свидетельствует о недостаточном внимании Правительства РФ и нефтегазовых компаний к данному вопросу и проблем, существующих в экономике и, в частности, нефтегазовой отрасли на данном временном промежутке.</w:t>
      </w:r>
    </w:p>
    <w:p w:rsidR="00CC28DB" w:rsidRPr="002A26FD" w:rsidRDefault="00CC28DB" w:rsidP="00CC28DB">
      <w:pPr>
        <w:jc w:val="both"/>
      </w:pPr>
      <w:proofErr w:type="gramStart"/>
      <w:r w:rsidRPr="002A26FD">
        <w:t>Оценка уровня развития международного инвестиционного сотрудничества российских нефтегазовых компаний показала, что</w:t>
      </w:r>
      <w:r w:rsidR="00812E38">
        <w:t>,</w:t>
      </w:r>
      <w:r w:rsidRPr="002A26FD">
        <w:t xml:space="preserve"> несмотря на повышение уровня развития международного сотрудничества российских компаний</w:t>
      </w:r>
      <w:r w:rsidR="003F5B4C">
        <w:t>,</w:t>
      </w:r>
      <w:r w:rsidRPr="002A26FD">
        <w:t xml:space="preserve"> наблюдается общая тенденция к замедлению и снижению уровня активности российских нефтегазовых компаний на международном рынке, что объясняется общим инвестиционным климатом в стране и неблагоприятной политической ситуацией в Мире, а также кризисом в нефтегазовой отрасли.</w:t>
      </w:r>
      <w:proofErr w:type="gramEnd"/>
    </w:p>
    <w:p w:rsidR="00CC28DB" w:rsidRPr="002A26FD" w:rsidRDefault="00CC28DB" w:rsidP="00CC28DB">
      <w:pPr>
        <w:jc w:val="both"/>
      </w:pPr>
      <w:r w:rsidRPr="002A26FD">
        <w:t xml:space="preserve">Одним из лидеров по уровню развития международного инвестиционного сотрудничества среди российских нефтегазовых компаний являются </w:t>
      </w:r>
      <w:r w:rsidR="008D22FF">
        <w:t>ПАО «</w:t>
      </w:r>
      <w:r w:rsidRPr="002A26FD">
        <w:t>Лукойл</w:t>
      </w:r>
      <w:r w:rsidR="008D22FF">
        <w:t>»</w:t>
      </w:r>
      <w:r w:rsidRPr="002A26FD">
        <w:t xml:space="preserve"> и </w:t>
      </w:r>
      <w:r w:rsidR="008D22FF">
        <w:t>ПАО «</w:t>
      </w:r>
      <w:r w:rsidRPr="002A26FD">
        <w:t>Роснефть</w:t>
      </w:r>
      <w:r w:rsidR="008D22FF">
        <w:t>»</w:t>
      </w:r>
      <w:r w:rsidRPr="002A26FD">
        <w:t xml:space="preserve">. Ярко выделяется компания Роснефть, которая ведет агрессивную политику по приобретению новых активов за рубежом, в то же время </w:t>
      </w:r>
      <w:r w:rsidR="008D22FF">
        <w:t>ПАО «</w:t>
      </w:r>
      <w:r w:rsidRPr="002A26FD">
        <w:t>Лукойл</w:t>
      </w:r>
      <w:r w:rsidR="008D22FF">
        <w:t>»</w:t>
      </w:r>
      <w:r w:rsidRPr="002A26FD">
        <w:t xml:space="preserve"> больше делает акцент на эффективности инвестиций на международном рынке.</w:t>
      </w:r>
    </w:p>
    <w:p w:rsidR="00203234" w:rsidRDefault="00203234" w:rsidP="00CC28DB">
      <w:pPr>
        <w:jc w:val="both"/>
      </w:pPr>
    </w:p>
    <w:p w:rsidR="00203234" w:rsidRDefault="00203234" w:rsidP="00CC28DB">
      <w:pPr>
        <w:jc w:val="both"/>
      </w:pPr>
      <w:r w:rsidRPr="00203234">
        <w:rPr>
          <w:b/>
        </w:rPr>
        <w:t>Заключение</w:t>
      </w:r>
      <w:r>
        <w:t xml:space="preserve"> </w:t>
      </w:r>
    </w:p>
    <w:p w:rsidR="00CC28DB" w:rsidRPr="002A26FD" w:rsidRDefault="00CC28DB" w:rsidP="00CC28DB">
      <w:pPr>
        <w:jc w:val="both"/>
      </w:pPr>
      <w:r w:rsidRPr="002A26FD">
        <w:t>Исследование позволило выявить, что Атлантический рынок – основное направление экспорта нефти и нефтепродуктов из России, а значительное увеличение поставок на рынки стран АТР происходит в рамках диверсификации экспорта энергоносителей из России.</w:t>
      </w:r>
    </w:p>
    <w:p w:rsidR="00365623" w:rsidRDefault="00CC28DB" w:rsidP="008D22FF">
      <w:pPr>
        <w:jc w:val="both"/>
      </w:pPr>
      <w:r w:rsidRPr="002A26FD">
        <w:t xml:space="preserve">С целью повышения уровня и эффективности развития международного инвестиционного сотрудничества российских нефтегазовых компаний </w:t>
      </w:r>
      <w:proofErr w:type="gramStart"/>
      <w:r w:rsidR="003F5B4C">
        <w:t>необходим</w:t>
      </w:r>
      <w:proofErr w:type="gramEnd"/>
      <w:r w:rsidR="003F5B4C">
        <w:t xml:space="preserve"> разработать </w:t>
      </w:r>
      <w:r w:rsidRPr="002A26FD">
        <w:t xml:space="preserve">комплекс новых направлений и мер для </w:t>
      </w:r>
      <w:r w:rsidRPr="002A26FD">
        <w:lastRenderedPageBreak/>
        <w:t>повышения уровня развития международного сотрудничества, включающий государственную поддержку на международном уровне.</w:t>
      </w:r>
      <w:r w:rsidR="003F5B4C">
        <w:t xml:space="preserve"> </w:t>
      </w:r>
      <w:r w:rsidRPr="002A26FD">
        <w:t xml:space="preserve">Отличительной особенностью </w:t>
      </w:r>
      <w:r w:rsidR="003F5B4C">
        <w:t xml:space="preserve">новых механизмов должно быть </w:t>
      </w:r>
      <w:r w:rsidRPr="002A26FD">
        <w:t>использование системы привлечения инвестиций, которые могут не только привлечь финансовые ресурсы, но и улучшить инновационное развитие российских не</w:t>
      </w:r>
      <w:r w:rsidR="003F5B4C">
        <w:t>фтегазовых компаний. Это позволи</w:t>
      </w:r>
      <w:r w:rsidRPr="002A26FD">
        <w:t>т реализовать новые проекты и повысить уровень инновационного состояния нефтегазовых компаний и российской экономики в условиях нестабильной политической обстановки и ухудшения экономического положения.</w:t>
      </w:r>
    </w:p>
    <w:p w:rsidR="00E05EFB" w:rsidRDefault="00E05EFB" w:rsidP="008D22FF">
      <w:pPr>
        <w:jc w:val="both"/>
      </w:pPr>
    </w:p>
    <w:p w:rsidR="00E05EFB" w:rsidRDefault="00E05EFB" w:rsidP="008D22FF">
      <w:pPr>
        <w:jc w:val="both"/>
      </w:pPr>
      <w:r w:rsidRPr="00E05EFB">
        <w:rPr>
          <w:b/>
        </w:rPr>
        <w:t>Литература</w:t>
      </w:r>
    </w:p>
    <w:p w:rsidR="00832B38" w:rsidRPr="002A590B" w:rsidRDefault="00832B38" w:rsidP="00832B38">
      <w:pPr>
        <w:numPr>
          <w:ilvl w:val="0"/>
          <w:numId w:val="32"/>
        </w:numPr>
        <w:ind w:left="425"/>
        <w:jc w:val="both"/>
      </w:pPr>
      <w:r>
        <w:rPr>
          <w:rFonts w:eastAsia="Times New Roman"/>
          <w:lang w:eastAsia="ru-RU"/>
        </w:rPr>
        <w:t>Экономическая оценка инвестиций</w:t>
      </w:r>
      <w:r w:rsidRPr="002A590B">
        <w:rPr>
          <w:rFonts w:eastAsia="Times New Roman"/>
          <w:lang w:eastAsia="ru-RU"/>
        </w:rPr>
        <w:t xml:space="preserve">: учебник / под ред. М. И. </w:t>
      </w:r>
      <w:proofErr w:type="spellStart"/>
      <w:r w:rsidRPr="002A590B">
        <w:rPr>
          <w:rFonts w:eastAsia="Times New Roman"/>
          <w:lang w:eastAsia="ru-RU"/>
        </w:rPr>
        <w:t>Римера</w:t>
      </w:r>
      <w:proofErr w:type="spellEnd"/>
      <w:r w:rsidRPr="002A590B">
        <w:rPr>
          <w:rFonts w:eastAsia="Times New Roman"/>
          <w:lang w:eastAsia="ru-RU"/>
        </w:rPr>
        <w:t>. – СПб</w:t>
      </w:r>
      <w:proofErr w:type="gramStart"/>
      <w:r w:rsidRPr="002A590B">
        <w:rPr>
          <w:rFonts w:eastAsia="Times New Roman"/>
          <w:lang w:eastAsia="ru-RU"/>
        </w:rPr>
        <w:t xml:space="preserve">.: </w:t>
      </w:r>
      <w:proofErr w:type="gramEnd"/>
      <w:r w:rsidRPr="002A590B">
        <w:rPr>
          <w:rFonts w:eastAsia="Times New Roman"/>
          <w:lang w:eastAsia="ru-RU"/>
        </w:rPr>
        <w:t>Питер, 201</w:t>
      </w:r>
      <w:r>
        <w:rPr>
          <w:rFonts w:eastAsia="Times New Roman"/>
          <w:lang w:eastAsia="ru-RU"/>
        </w:rPr>
        <w:t>5</w:t>
      </w:r>
      <w:r w:rsidRPr="002A590B">
        <w:rPr>
          <w:rFonts w:eastAsia="Times New Roman"/>
          <w:lang w:eastAsia="ru-RU"/>
        </w:rPr>
        <w:t>. – 425 с.</w:t>
      </w:r>
    </w:p>
    <w:p w:rsidR="00832B38" w:rsidRDefault="00832B38" w:rsidP="00832B38">
      <w:pPr>
        <w:pStyle w:val="af7"/>
        <w:numPr>
          <w:ilvl w:val="0"/>
          <w:numId w:val="32"/>
        </w:numPr>
        <w:ind w:left="425"/>
        <w:jc w:val="both"/>
        <w:rPr>
          <w:shd w:val="clear" w:color="auto" w:fill="FFFFFF"/>
        </w:rPr>
      </w:pPr>
      <w:r w:rsidRPr="002A590B">
        <w:rPr>
          <w:shd w:val="clear" w:color="auto" w:fill="FFFFFF"/>
        </w:rPr>
        <w:t>Шарп У. Инвестиции. – М.: Инфра-М, 2017. – 1028с.</w:t>
      </w:r>
    </w:p>
    <w:p w:rsidR="00832B38" w:rsidRPr="002A590B" w:rsidRDefault="00832B38" w:rsidP="00832B38">
      <w:pPr>
        <w:pStyle w:val="af7"/>
        <w:numPr>
          <w:ilvl w:val="0"/>
          <w:numId w:val="32"/>
        </w:numPr>
        <w:ind w:left="425"/>
        <w:jc w:val="both"/>
        <w:rPr>
          <w:shd w:val="clear" w:color="auto" w:fill="FFFFFF"/>
        </w:rPr>
      </w:pPr>
      <w:r>
        <w:rPr>
          <w:rFonts w:eastAsia="Times New Roman"/>
          <w:lang w:eastAsia="ru-RU"/>
        </w:rPr>
        <w:t>Янковский К. П. Инвестиции: у</w:t>
      </w:r>
      <w:r w:rsidRPr="002A590B">
        <w:rPr>
          <w:rFonts w:eastAsia="Times New Roman"/>
          <w:lang w:eastAsia="ru-RU"/>
        </w:rPr>
        <w:t xml:space="preserve">чебное пособие. </w:t>
      </w:r>
      <w:r>
        <w:rPr>
          <w:rFonts w:eastAsia="Times New Roman"/>
          <w:lang w:eastAsia="ru-RU"/>
        </w:rPr>
        <w:t>-</w:t>
      </w:r>
      <w:r w:rsidRPr="002A590B">
        <w:rPr>
          <w:rFonts w:eastAsia="Times New Roman"/>
          <w:lang w:eastAsia="ru-RU"/>
        </w:rPr>
        <w:t xml:space="preserve"> СПб</w:t>
      </w:r>
      <w:proofErr w:type="gramStart"/>
      <w:r w:rsidRPr="002A590B">
        <w:rPr>
          <w:rFonts w:eastAsia="Times New Roman"/>
          <w:lang w:eastAsia="ru-RU"/>
        </w:rPr>
        <w:t xml:space="preserve">.: </w:t>
      </w:r>
      <w:proofErr w:type="gramEnd"/>
      <w:r w:rsidRPr="002A590B">
        <w:rPr>
          <w:rFonts w:eastAsia="Times New Roman"/>
          <w:lang w:eastAsia="ru-RU"/>
        </w:rPr>
        <w:t>Питер, 201</w:t>
      </w:r>
      <w:r>
        <w:rPr>
          <w:rFonts w:eastAsia="Times New Roman"/>
          <w:lang w:eastAsia="ru-RU"/>
        </w:rPr>
        <w:t xml:space="preserve">3 - </w:t>
      </w:r>
      <w:r w:rsidRPr="002A590B">
        <w:rPr>
          <w:rFonts w:eastAsia="Times New Roman"/>
          <w:lang w:eastAsia="ru-RU"/>
        </w:rPr>
        <w:t>368с. </w:t>
      </w:r>
    </w:p>
    <w:p w:rsidR="00832B38" w:rsidRPr="00832B38" w:rsidRDefault="00832B38" w:rsidP="00832B38">
      <w:pPr>
        <w:pStyle w:val="af7"/>
        <w:numPr>
          <w:ilvl w:val="0"/>
          <w:numId w:val="32"/>
        </w:numPr>
        <w:ind w:left="419" w:hanging="357"/>
        <w:jc w:val="both"/>
        <w:rPr>
          <w:shd w:val="clear" w:color="auto" w:fill="FFFFFF"/>
        </w:rPr>
      </w:pPr>
      <w:r w:rsidRPr="00832B38">
        <w:rPr>
          <w:shd w:val="clear" w:color="auto" w:fill="FFFFFF"/>
        </w:rPr>
        <w:t>И</w:t>
      </w:r>
      <w:r w:rsidRPr="00D66BE6">
        <w:t xml:space="preserve">нвесторы не вернутся в Россию </w:t>
      </w:r>
      <w:r w:rsidRPr="00832B38">
        <w:rPr>
          <w:shd w:val="clear" w:color="auto" w:fill="FFFFFF"/>
        </w:rPr>
        <w:t xml:space="preserve">[электронный ресурс]: </w:t>
      </w:r>
      <w:hyperlink r:id="rId13" w:history="1">
        <w:r w:rsidRPr="00D66BE6">
          <w:rPr>
            <w:rStyle w:val="ae"/>
          </w:rPr>
          <w:t>http://www.vedomosti.ru/economics/articles/2015/06/25/597910-investori-ne-vernutsya-v-rossiyu</w:t>
        </w:r>
      </w:hyperlink>
      <w:r>
        <w:t xml:space="preserve"> </w:t>
      </w:r>
    </w:p>
    <w:p w:rsidR="00832B38" w:rsidRPr="00560C75" w:rsidRDefault="00832B38" w:rsidP="00832B38">
      <w:pPr>
        <w:pStyle w:val="af7"/>
        <w:numPr>
          <w:ilvl w:val="0"/>
          <w:numId w:val="32"/>
        </w:numPr>
        <w:ind w:left="419" w:hanging="357"/>
        <w:jc w:val="both"/>
        <w:rPr>
          <w:shd w:val="clear" w:color="auto" w:fill="FFFFFF"/>
        </w:rPr>
      </w:pPr>
      <w:r w:rsidRPr="00560C75">
        <w:t xml:space="preserve">Инвестиции в России: статистический бюллетень [Электронный ресурс]: </w:t>
      </w:r>
      <w:r w:rsidRPr="00560C75">
        <w:rPr>
          <w:rFonts w:eastAsia="Times New Roman"/>
          <w:kern w:val="36"/>
          <w:lang w:eastAsia="ru-RU"/>
        </w:rPr>
        <w:t>http://</w:t>
      </w:r>
      <w:r w:rsidRPr="00560C75">
        <w:t xml:space="preserve">www. </w:t>
      </w:r>
      <w:hyperlink r:id="rId14" w:history="1">
        <w:r w:rsidRPr="00560C75">
          <w:rPr>
            <w:rStyle w:val="ae"/>
          </w:rPr>
          <w:t>http://www.gks.ru</w:t>
        </w:r>
      </w:hyperlink>
      <w:r>
        <w:t xml:space="preserve">  </w:t>
      </w:r>
    </w:p>
    <w:p w:rsidR="00832B38" w:rsidRPr="00560C75" w:rsidRDefault="00832B38" w:rsidP="00832B38">
      <w:pPr>
        <w:pStyle w:val="af7"/>
        <w:numPr>
          <w:ilvl w:val="0"/>
          <w:numId w:val="32"/>
        </w:numPr>
        <w:ind w:left="419" w:hanging="357"/>
        <w:jc w:val="both"/>
        <w:rPr>
          <w:shd w:val="clear" w:color="auto" w:fill="FFFFFF"/>
        </w:rPr>
      </w:pPr>
      <w:r w:rsidRPr="00560C75">
        <w:rPr>
          <w:shd w:val="clear" w:color="auto" w:fill="FFFFFF"/>
        </w:rPr>
        <w:t xml:space="preserve">Статистика внешнего сектора [электронный ресурс]: </w:t>
      </w:r>
      <w:hyperlink r:id="rId15" w:history="1">
        <w:r w:rsidRPr="00560C75">
          <w:rPr>
            <w:rStyle w:val="ae"/>
            <w:shd w:val="clear" w:color="auto" w:fill="FFFFFF"/>
          </w:rPr>
          <w:t>http://www.cbr.ru/statistics/</w:t>
        </w:r>
      </w:hyperlink>
      <w:r w:rsidRPr="00560C75">
        <w:rPr>
          <w:shd w:val="clear" w:color="auto" w:fill="FFFFFF"/>
        </w:rPr>
        <w:t xml:space="preserve"> </w:t>
      </w:r>
      <w:r w:rsidRPr="00560C75">
        <w:t>(дата обращения 02.05.2018)</w:t>
      </w:r>
    </w:p>
    <w:p w:rsidR="00E05EFB" w:rsidRDefault="00E05EFB" w:rsidP="008D22FF">
      <w:pPr>
        <w:jc w:val="both"/>
      </w:pPr>
    </w:p>
    <w:sectPr w:rsidR="00E0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terITC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#20New#20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738481"/>
    <w:multiLevelType w:val="hybridMultilevel"/>
    <w:tmpl w:val="D70B88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A82113"/>
    <w:multiLevelType w:val="hybridMultilevel"/>
    <w:tmpl w:val="179E922C"/>
    <w:lvl w:ilvl="0" w:tplc="57E41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C3A48"/>
    <w:multiLevelType w:val="multilevel"/>
    <w:tmpl w:val="4590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75F73"/>
    <w:multiLevelType w:val="hybridMultilevel"/>
    <w:tmpl w:val="C4F45434"/>
    <w:lvl w:ilvl="0" w:tplc="F290140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120B6018"/>
    <w:multiLevelType w:val="hybridMultilevel"/>
    <w:tmpl w:val="68E8F7A6"/>
    <w:lvl w:ilvl="0" w:tplc="3E1ABB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20EF"/>
    <w:multiLevelType w:val="multilevel"/>
    <w:tmpl w:val="842E56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F55A0"/>
    <w:multiLevelType w:val="multilevel"/>
    <w:tmpl w:val="2A5E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35628"/>
    <w:multiLevelType w:val="hybridMultilevel"/>
    <w:tmpl w:val="00D095E6"/>
    <w:lvl w:ilvl="0" w:tplc="57E41F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1439B2"/>
    <w:multiLevelType w:val="multilevel"/>
    <w:tmpl w:val="3E4E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40DE2"/>
    <w:multiLevelType w:val="multilevel"/>
    <w:tmpl w:val="B1E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65648"/>
    <w:multiLevelType w:val="hybridMultilevel"/>
    <w:tmpl w:val="40C66D6C"/>
    <w:lvl w:ilvl="0" w:tplc="6832DC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61ED"/>
    <w:multiLevelType w:val="multilevel"/>
    <w:tmpl w:val="D68EBE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63F24"/>
    <w:multiLevelType w:val="multilevel"/>
    <w:tmpl w:val="01E2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B772F"/>
    <w:multiLevelType w:val="multilevel"/>
    <w:tmpl w:val="1CF0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29"/>
    <w:multiLevelType w:val="multilevel"/>
    <w:tmpl w:val="436E60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F25F7"/>
    <w:multiLevelType w:val="hybridMultilevel"/>
    <w:tmpl w:val="B3AC6666"/>
    <w:lvl w:ilvl="0" w:tplc="F290140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56500BBA"/>
    <w:multiLevelType w:val="multilevel"/>
    <w:tmpl w:val="3D74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C311C"/>
    <w:multiLevelType w:val="multilevel"/>
    <w:tmpl w:val="9952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85839"/>
    <w:multiLevelType w:val="hybridMultilevel"/>
    <w:tmpl w:val="40C66D6C"/>
    <w:lvl w:ilvl="0" w:tplc="6832DC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06FF9"/>
    <w:multiLevelType w:val="hybridMultilevel"/>
    <w:tmpl w:val="ACE8C800"/>
    <w:lvl w:ilvl="0" w:tplc="12409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3452B0"/>
    <w:multiLevelType w:val="hybridMultilevel"/>
    <w:tmpl w:val="E5A2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A5EF2"/>
    <w:multiLevelType w:val="hybridMultilevel"/>
    <w:tmpl w:val="40C66D6C"/>
    <w:lvl w:ilvl="0" w:tplc="6832DC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C56FA"/>
    <w:multiLevelType w:val="multilevel"/>
    <w:tmpl w:val="199C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420C4A"/>
    <w:multiLevelType w:val="hybridMultilevel"/>
    <w:tmpl w:val="40C66D6C"/>
    <w:lvl w:ilvl="0" w:tplc="6832DC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E1DB5"/>
    <w:multiLevelType w:val="multilevel"/>
    <w:tmpl w:val="AC70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D3446B"/>
    <w:multiLevelType w:val="multilevel"/>
    <w:tmpl w:val="F02C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E07DE"/>
    <w:multiLevelType w:val="hybridMultilevel"/>
    <w:tmpl w:val="D336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D5DC2"/>
    <w:multiLevelType w:val="hybridMultilevel"/>
    <w:tmpl w:val="40C66D6C"/>
    <w:lvl w:ilvl="0" w:tplc="6832DC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E75C8"/>
    <w:multiLevelType w:val="hybridMultilevel"/>
    <w:tmpl w:val="40C66D6C"/>
    <w:lvl w:ilvl="0" w:tplc="6832DC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D4F8C"/>
    <w:multiLevelType w:val="hybridMultilevel"/>
    <w:tmpl w:val="060A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3"/>
  </w:num>
  <w:num w:numId="6">
    <w:abstractNumId w:val="15"/>
  </w:num>
  <w:num w:numId="7">
    <w:abstractNumId w:val="24"/>
  </w:num>
  <w:num w:numId="8">
    <w:abstractNumId w:val="6"/>
  </w:num>
  <w:num w:numId="9">
    <w:abstractNumId w:val="11"/>
  </w:num>
  <w:num w:numId="10">
    <w:abstractNumId w:val="9"/>
  </w:num>
  <w:num w:numId="11">
    <w:abstractNumId w:val="17"/>
  </w:num>
  <w:num w:numId="12">
    <w:abstractNumId w:val="16"/>
  </w:num>
  <w:num w:numId="13">
    <w:abstractNumId w:val="8"/>
  </w:num>
  <w:num w:numId="14">
    <w:abstractNumId w:val="13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1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1"/>
  </w:num>
  <w:num w:numId="22">
    <w:abstractNumId w:val="27"/>
  </w:num>
  <w:num w:numId="23">
    <w:abstractNumId w:val="26"/>
  </w:num>
  <w:num w:numId="24">
    <w:abstractNumId w:val="20"/>
  </w:num>
  <w:num w:numId="25">
    <w:abstractNumId w:val="19"/>
  </w:num>
  <w:num w:numId="26">
    <w:abstractNumId w:val="23"/>
  </w:num>
  <w:num w:numId="27">
    <w:abstractNumId w:val="28"/>
  </w:num>
  <w:num w:numId="28">
    <w:abstractNumId w:val="10"/>
  </w:num>
  <w:num w:numId="29">
    <w:abstractNumId w:val="0"/>
  </w:num>
  <w:num w:numId="30">
    <w:abstractNumId w:val="1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76"/>
    <w:rsid w:val="0008486B"/>
    <w:rsid w:val="001C790B"/>
    <w:rsid w:val="00203234"/>
    <w:rsid w:val="002B0A5C"/>
    <w:rsid w:val="00365623"/>
    <w:rsid w:val="003F5B4C"/>
    <w:rsid w:val="004E40FB"/>
    <w:rsid w:val="00552018"/>
    <w:rsid w:val="005A7143"/>
    <w:rsid w:val="005E5086"/>
    <w:rsid w:val="006357DF"/>
    <w:rsid w:val="00797211"/>
    <w:rsid w:val="00812E38"/>
    <w:rsid w:val="00832B38"/>
    <w:rsid w:val="00845F00"/>
    <w:rsid w:val="008812AD"/>
    <w:rsid w:val="008D22FF"/>
    <w:rsid w:val="009021E9"/>
    <w:rsid w:val="00915CD9"/>
    <w:rsid w:val="0092467A"/>
    <w:rsid w:val="009D45CC"/>
    <w:rsid w:val="00A023FF"/>
    <w:rsid w:val="00A15BD4"/>
    <w:rsid w:val="00A3270C"/>
    <w:rsid w:val="00A45876"/>
    <w:rsid w:val="00B34C47"/>
    <w:rsid w:val="00B56E7E"/>
    <w:rsid w:val="00C2352D"/>
    <w:rsid w:val="00C80267"/>
    <w:rsid w:val="00CC28DB"/>
    <w:rsid w:val="00CC7E7E"/>
    <w:rsid w:val="00CF3267"/>
    <w:rsid w:val="00DB7586"/>
    <w:rsid w:val="00E05EFB"/>
    <w:rsid w:val="00E15A6F"/>
    <w:rsid w:val="00E568B7"/>
    <w:rsid w:val="00E86DFB"/>
    <w:rsid w:val="00ED41BC"/>
    <w:rsid w:val="00F7037C"/>
    <w:rsid w:val="00FA45C2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00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81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8812AD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2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12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2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45F00"/>
    <w:pPr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45F0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F00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1 Знак,Обычный (Web)11 Знак,Обычный (веб) Знак1"/>
    <w:basedOn w:val="a"/>
    <w:link w:val="a8"/>
    <w:uiPriority w:val="99"/>
    <w:unhideWhenUsed/>
    <w:rsid w:val="00845F00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ыделение"/>
    <w:basedOn w:val="a0"/>
    <w:uiPriority w:val="99"/>
    <w:rsid w:val="00845F00"/>
  </w:style>
  <w:style w:type="character" w:customStyle="1" w:styleId="a8">
    <w:name w:val="Обычный (веб) Знак"/>
    <w:aliases w:val="Обычный (Web)1 Знак Знак,Обычный (Web)11 Знак Знак,Обычный (веб) Знак1 Знак"/>
    <w:basedOn w:val="a0"/>
    <w:link w:val="a7"/>
    <w:uiPriority w:val="99"/>
    <w:locked/>
    <w:rsid w:val="00845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1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12A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812AD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8812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a">
    <w:name w:val="Strong"/>
    <w:basedOn w:val="a0"/>
    <w:uiPriority w:val="22"/>
    <w:qFormat/>
    <w:rsid w:val="008812AD"/>
    <w:rPr>
      <w:b/>
      <w:bCs/>
    </w:rPr>
  </w:style>
  <w:style w:type="character" w:customStyle="1" w:styleId="FontStyle12">
    <w:name w:val="Font Style12"/>
    <w:basedOn w:val="a0"/>
    <w:rsid w:val="008812AD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8812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8812AD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812AD"/>
    <w:rPr>
      <w:rFonts w:ascii="Times New Roman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812AD"/>
    <w:rPr>
      <w:vertAlign w:val="superscript"/>
    </w:rPr>
  </w:style>
  <w:style w:type="character" w:customStyle="1" w:styleId="apple-converted-space">
    <w:name w:val="apple-converted-space"/>
    <w:basedOn w:val="a0"/>
    <w:rsid w:val="008812AD"/>
  </w:style>
  <w:style w:type="character" w:styleId="ae">
    <w:name w:val="Hyperlink"/>
    <w:basedOn w:val="a0"/>
    <w:uiPriority w:val="99"/>
    <w:unhideWhenUsed/>
    <w:rsid w:val="008812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81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12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10">
    <w:name w:val="A1"/>
    <w:uiPriority w:val="99"/>
    <w:rsid w:val="008812AD"/>
    <w:rPr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8812AD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8812AD"/>
    <w:rPr>
      <w:color w:val="000000"/>
      <w:sz w:val="20"/>
      <w:szCs w:val="20"/>
    </w:rPr>
  </w:style>
  <w:style w:type="table" w:styleId="af">
    <w:name w:val="Table Grid"/>
    <w:basedOn w:val="a1"/>
    <w:uiPriority w:val="59"/>
    <w:rsid w:val="008812AD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812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12AD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8812A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812AD"/>
    <w:rPr>
      <w:rFonts w:ascii="Times New Roman" w:hAnsi="Times New Roman" w:cs="Times New Roman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8812AD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8812AD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8812AD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8812AD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8812AD"/>
    <w:rPr>
      <w:b/>
      <w:bCs/>
      <w:i/>
      <w:iCs/>
      <w:color w:val="000000"/>
      <w:sz w:val="25"/>
      <w:szCs w:val="25"/>
    </w:rPr>
  </w:style>
  <w:style w:type="paragraph" w:customStyle="1" w:styleId="af4">
    <w:name w:val="Текстовый блок"/>
    <w:rsid w:val="008812AD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num">
    <w:name w:val="num"/>
    <w:basedOn w:val="a0"/>
    <w:rsid w:val="008812AD"/>
  </w:style>
  <w:style w:type="paragraph" w:styleId="af5">
    <w:name w:val="Body Text Indent"/>
    <w:basedOn w:val="a"/>
    <w:link w:val="af6"/>
    <w:uiPriority w:val="99"/>
    <w:unhideWhenUsed/>
    <w:rsid w:val="008812AD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812AD"/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8812AD"/>
    <w:pPr>
      <w:ind w:left="720"/>
      <w:contextualSpacing/>
    </w:pPr>
  </w:style>
  <w:style w:type="character" w:styleId="af8">
    <w:name w:val="Emphasis"/>
    <w:basedOn w:val="a0"/>
    <w:uiPriority w:val="20"/>
    <w:qFormat/>
    <w:rsid w:val="008812AD"/>
    <w:rPr>
      <w:i/>
      <w:iCs/>
    </w:rPr>
  </w:style>
  <w:style w:type="paragraph" w:styleId="af9">
    <w:name w:val="footnote text"/>
    <w:basedOn w:val="a"/>
    <w:link w:val="afa"/>
    <w:semiHidden/>
    <w:unhideWhenUsed/>
    <w:rsid w:val="008812AD"/>
    <w:pPr>
      <w:spacing w:after="200" w:line="276" w:lineRule="auto"/>
      <w:ind w:firstLine="0"/>
    </w:pPr>
    <w:rPr>
      <w:rFonts w:ascii="Calibri" w:eastAsia="Times New Roman" w:hAnsi="Calibri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8812AD"/>
    <w:rPr>
      <w:rFonts w:ascii="Calibri" w:eastAsia="Times New Roman" w:hAnsi="Calibri" w:cs="Times New Roman"/>
      <w:sz w:val="20"/>
      <w:szCs w:val="20"/>
    </w:rPr>
  </w:style>
  <w:style w:type="character" w:styleId="afb">
    <w:name w:val="footnote reference"/>
    <w:semiHidden/>
    <w:unhideWhenUsed/>
    <w:rsid w:val="008812AD"/>
    <w:rPr>
      <w:rFonts w:cs="Times New Roman"/>
      <w:vertAlign w:val="superscript"/>
    </w:rPr>
  </w:style>
  <w:style w:type="character" w:customStyle="1" w:styleId="A40">
    <w:name w:val="A4"/>
    <w:uiPriority w:val="99"/>
    <w:rsid w:val="008812AD"/>
    <w:rPr>
      <w:rFonts w:cs="CharterITC"/>
      <w:color w:val="000000"/>
      <w:sz w:val="19"/>
      <w:szCs w:val="19"/>
    </w:rPr>
  </w:style>
  <w:style w:type="paragraph" w:customStyle="1" w:styleId="Pa12">
    <w:name w:val="Pa12"/>
    <w:basedOn w:val="Default"/>
    <w:next w:val="Default"/>
    <w:uiPriority w:val="99"/>
    <w:rsid w:val="008812AD"/>
    <w:pPr>
      <w:spacing w:line="201" w:lineRule="atLeast"/>
    </w:pPr>
    <w:rPr>
      <w:rFonts w:ascii="CharterITC" w:hAnsi="CharterITC"/>
      <w:color w:val="auto"/>
    </w:rPr>
  </w:style>
  <w:style w:type="character" w:customStyle="1" w:styleId="A12">
    <w:name w:val="A12"/>
    <w:uiPriority w:val="99"/>
    <w:rsid w:val="008812AD"/>
    <w:rPr>
      <w:rFonts w:cs="CharterITC"/>
      <w:color w:val="000000"/>
      <w:sz w:val="11"/>
      <w:szCs w:val="11"/>
    </w:rPr>
  </w:style>
  <w:style w:type="paragraph" w:customStyle="1" w:styleId="Pa11">
    <w:name w:val="Pa11"/>
    <w:basedOn w:val="Default"/>
    <w:next w:val="Default"/>
    <w:uiPriority w:val="99"/>
    <w:rsid w:val="008812AD"/>
    <w:pPr>
      <w:spacing w:line="121" w:lineRule="atLeast"/>
    </w:pPr>
    <w:rPr>
      <w:rFonts w:ascii="CharterITC" w:hAnsi="CharterITC"/>
      <w:color w:val="auto"/>
    </w:rPr>
  </w:style>
  <w:style w:type="paragraph" w:customStyle="1" w:styleId="Pa22">
    <w:name w:val="Pa22"/>
    <w:basedOn w:val="Default"/>
    <w:next w:val="Default"/>
    <w:uiPriority w:val="99"/>
    <w:rsid w:val="008812AD"/>
    <w:pPr>
      <w:spacing w:line="121" w:lineRule="atLeast"/>
    </w:pPr>
    <w:rPr>
      <w:rFonts w:ascii="CharterITC" w:hAnsi="CharterITC"/>
      <w:color w:val="auto"/>
    </w:rPr>
  </w:style>
  <w:style w:type="character" w:styleId="afc">
    <w:name w:val="FollowedHyperlink"/>
    <w:basedOn w:val="a0"/>
    <w:uiPriority w:val="99"/>
    <w:semiHidden/>
    <w:unhideWhenUsed/>
    <w:rsid w:val="008812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00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81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8812AD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2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12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2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45F00"/>
    <w:pPr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45F0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F00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1 Знак,Обычный (Web)11 Знак,Обычный (веб) Знак1"/>
    <w:basedOn w:val="a"/>
    <w:link w:val="a8"/>
    <w:uiPriority w:val="99"/>
    <w:unhideWhenUsed/>
    <w:rsid w:val="00845F00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ыделение"/>
    <w:basedOn w:val="a0"/>
    <w:uiPriority w:val="99"/>
    <w:rsid w:val="00845F00"/>
  </w:style>
  <w:style w:type="character" w:customStyle="1" w:styleId="a8">
    <w:name w:val="Обычный (веб) Знак"/>
    <w:aliases w:val="Обычный (Web)1 Знак Знак,Обычный (Web)11 Знак Знак,Обычный (веб) Знак1 Знак"/>
    <w:basedOn w:val="a0"/>
    <w:link w:val="a7"/>
    <w:uiPriority w:val="99"/>
    <w:locked/>
    <w:rsid w:val="00845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1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12A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812AD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8812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a">
    <w:name w:val="Strong"/>
    <w:basedOn w:val="a0"/>
    <w:uiPriority w:val="22"/>
    <w:qFormat/>
    <w:rsid w:val="008812AD"/>
    <w:rPr>
      <w:b/>
      <w:bCs/>
    </w:rPr>
  </w:style>
  <w:style w:type="character" w:customStyle="1" w:styleId="FontStyle12">
    <w:name w:val="Font Style12"/>
    <w:basedOn w:val="a0"/>
    <w:rsid w:val="008812AD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8812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8812AD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812AD"/>
    <w:rPr>
      <w:rFonts w:ascii="Times New Roman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812AD"/>
    <w:rPr>
      <w:vertAlign w:val="superscript"/>
    </w:rPr>
  </w:style>
  <w:style w:type="character" w:customStyle="1" w:styleId="apple-converted-space">
    <w:name w:val="apple-converted-space"/>
    <w:basedOn w:val="a0"/>
    <w:rsid w:val="008812AD"/>
  </w:style>
  <w:style w:type="character" w:styleId="ae">
    <w:name w:val="Hyperlink"/>
    <w:basedOn w:val="a0"/>
    <w:uiPriority w:val="99"/>
    <w:unhideWhenUsed/>
    <w:rsid w:val="008812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81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12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10">
    <w:name w:val="A1"/>
    <w:uiPriority w:val="99"/>
    <w:rsid w:val="008812AD"/>
    <w:rPr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8812AD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8812AD"/>
    <w:rPr>
      <w:color w:val="000000"/>
      <w:sz w:val="20"/>
      <w:szCs w:val="20"/>
    </w:rPr>
  </w:style>
  <w:style w:type="table" w:styleId="af">
    <w:name w:val="Table Grid"/>
    <w:basedOn w:val="a1"/>
    <w:uiPriority w:val="59"/>
    <w:rsid w:val="008812AD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812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12AD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8812A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812AD"/>
    <w:rPr>
      <w:rFonts w:ascii="Times New Roman" w:hAnsi="Times New Roman" w:cs="Times New Roman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8812AD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8812AD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8812AD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8812AD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8812AD"/>
    <w:rPr>
      <w:b/>
      <w:bCs/>
      <w:i/>
      <w:iCs/>
      <w:color w:val="000000"/>
      <w:sz w:val="25"/>
      <w:szCs w:val="25"/>
    </w:rPr>
  </w:style>
  <w:style w:type="paragraph" w:customStyle="1" w:styleId="af4">
    <w:name w:val="Текстовый блок"/>
    <w:rsid w:val="008812AD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num">
    <w:name w:val="num"/>
    <w:basedOn w:val="a0"/>
    <w:rsid w:val="008812AD"/>
  </w:style>
  <w:style w:type="paragraph" w:styleId="af5">
    <w:name w:val="Body Text Indent"/>
    <w:basedOn w:val="a"/>
    <w:link w:val="af6"/>
    <w:uiPriority w:val="99"/>
    <w:unhideWhenUsed/>
    <w:rsid w:val="008812AD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812AD"/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8812AD"/>
    <w:pPr>
      <w:ind w:left="720"/>
      <w:contextualSpacing/>
    </w:pPr>
  </w:style>
  <w:style w:type="character" w:styleId="af8">
    <w:name w:val="Emphasis"/>
    <w:basedOn w:val="a0"/>
    <w:uiPriority w:val="20"/>
    <w:qFormat/>
    <w:rsid w:val="008812AD"/>
    <w:rPr>
      <w:i/>
      <w:iCs/>
    </w:rPr>
  </w:style>
  <w:style w:type="paragraph" w:styleId="af9">
    <w:name w:val="footnote text"/>
    <w:basedOn w:val="a"/>
    <w:link w:val="afa"/>
    <w:semiHidden/>
    <w:unhideWhenUsed/>
    <w:rsid w:val="008812AD"/>
    <w:pPr>
      <w:spacing w:after="200" w:line="276" w:lineRule="auto"/>
      <w:ind w:firstLine="0"/>
    </w:pPr>
    <w:rPr>
      <w:rFonts w:ascii="Calibri" w:eastAsia="Times New Roman" w:hAnsi="Calibri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8812AD"/>
    <w:rPr>
      <w:rFonts w:ascii="Calibri" w:eastAsia="Times New Roman" w:hAnsi="Calibri" w:cs="Times New Roman"/>
      <w:sz w:val="20"/>
      <w:szCs w:val="20"/>
    </w:rPr>
  </w:style>
  <w:style w:type="character" w:styleId="afb">
    <w:name w:val="footnote reference"/>
    <w:semiHidden/>
    <w:unhideWhenUsed/>
    <w:rsid w:val="008812AD"/>
    <w:rPr>
      <w:rFonts w:cs="Times New Roman"/>
      <w:vertAlign w:val="superscript"/>
    </w:rPr>
  </w:style>
  <w:style w:type="character" w:customStyle="1" w:styleId="A40">
    <w:name w:val="A4"/>
    <w:uiPriority w:val="99"/>
    <w:rsid w:val="008812AD"/>
    <w:rPr>
      <w:rFonts w:cs="CharterITC"/>
      <w:color w:val="000000"/>
      <w:sz w:val="19"/>
      <w:szCs w:val="19"/>
    </w:rPr>
  </w:style>
  <w:style w:type="paragraph" w:customStyle="1" w:styleId="Pa12">
    <w:name w:val="Pa12"/>
    <w:basedOn w:val="Default"/>
    <w:next w:val="Default"/>
    <w:uiPriority w:val="99"/>
    <w:rsid w:val="008812AD"/>
    <w:pPr>
      <w:spacing w:line="201" w:lineRule="atLeast"/>
    </w:pPr>
    <w:rPr>
      <w:rFonts w:ascii="CharterITC" w:hAnsi="CharterITC"/>
      <w:color w:val="auto"/>
    </w:rPr>
  </w:style>
  <w:style w:type="character" w:customStyle="1" w:styleId="A12">
    <w:name w:val="A12"/>
    <w:uiPriority w:val="99"/>
    <w:rsid w:val="008812AD"/>
    <w:rPr>
      <w:rFonts w:cs="CharterITC"/>
      <w:color w:val="000000"/>
      <w:sz w:val="11"/>
      <w:szCs w:val="11"/>
    </w:rPr>
  </w:style>
  <w:style w:type="paragraph" w:customStyle="1" w:styleId="Pa11">
    <w:name w:val="Pa11"/>
    <w:basedOn w:val="Default"/>
    <w:next w:val="Default"/>
    <w:uiPriority w:val="99"/>
    <w:rsid w:val="008812AD"/>
    <w:pPr>
      <w:spacing w:line="121" w:lineRule="atLeast"/>
    </w:pPr>
    <w:rPr>
      <w:rFonts w:ascii="CharterITC" w:hAnsi="CharterITC"/>
      <w:color w:val="auto"/>
    </w:rPr>
  </w:style>
  <w:style w:type="paragraph" w:customStyle="1" w:styleId="Pa22">
    <w:name w:val="Pa22"/>
    <w:basedOn w:val="Default"/>
    <w:next w:val="Default"/>
    <w:uiPriority w:val="99"/>
    <w:rsid w:val="008812AD"/>
    <w:pPr>
      <w:spacing w:line="121" w:lineRule="atLeast"/>
    </w:pPr>
    <w:rPr>
      <w:rFonts w:ascii="CharterITC" w:hAnsi="CharterITC"/>
      <w:color w:val="auto"/>
    </w:rPr>
  </w:style>
  <w:style w:type="character" w:styleId="afc">
    <w:name w:val="FollowedHyperlink"/>
    <w:basedOn w:val="a0"/>
    <w:uiPriority w:val="99"/>
    <w:semiHidden/>
    <w:unhideWhenUsed/>
    <w:rsid w:val="00881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vedomosti.ru/economics/articles/2015/06/25/597910-investori-ne-vernutsya-v-rossiyu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hyperlink" Target="http://www.cbr.ru/statistics/" TargetMode="Externa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://www.gks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er\Desktop\&#1040;&#1092;&#1072;&#1085;&#1072;&#1089;&#1100;&#1077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er\Downloads\&#1088;&#1072;&#1089;&#1095;&#1055;&#1055;&#105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er\Downloads\&#1088;&#1072;&#1089;&#1095;&#1055;&#1055;&#105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er\Downloads\&#1088;&#1072;&#1089;&#1095;&#1055;&#1055;&#105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er\Downloads\&#1088;&#1072;&#1089;&#1095;&#1055;&#1055;&#105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er\Downloads\&#1088;&#1072;&#1089;&#1095;&#1055;&#1055;&#105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er\Documents\&#1052;&#1059;&#1061;&#1040;&#1041;&#1041;&#1040;&#1058;\&#1076;&#1086;&#1082;&#1091;&#1084;\&#1052;&#1072;&#1075;&#1080;&#1089;&#1090;&#1088;%20&#1048;&#1085;&#1074;&#1077;&#1089;&#1090;%20&#1089;&#1086;&#1090;&#1088;&#1091;&#1076;\&#1040;&#1092;&#1072;&#1085;&#1072;&#1089;&#1100;&#1077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Лист1!$B$58:$B$67</c:f>
              <c:strCache>
                <c:ptCount val="10"/>
                <c:pt idx="0">
                  <c:v>Сингапур</c:v>
                </c:pt>
                <c:pt idx="1">
                  <c:v>Китай</c:v>
                </c:pt>
                <c:pt idx="2">
                  <c:v>Кипр</c:v>
                </c:pt>
                <c:pt idx="3">
                  <c:v>Франция</c:v>
                </c:pt>
                <c:pt idx="4">
                  <c:v>Швейцария</c:v>
                </c:pt>
                <c:pt idx="5">
                  <c:v>Австрия</c:v>
                </c:pt>
                <c:pt idx="6">
                  <c:v>Виргинские острова </c:v>
                </c:pt>
                <c:pt idx="7">
                  <c:v>Япония</c:v>
                </c:pt>
                <c:pt idx="8">
                  <c:v>Швеция</c:v>
                </c:pt>
                <c:pt idx="9">
                  <c:v>Соединенное Королевство (Великобритания)</c:v>
                </c:pt>
              </c:strCache>
            </c:strRef>
          </c:cat>
          <c:val>
            <c:numRef>
              <c:f>Лист1!$C$58:$C$67</c:f>
              <c:numCache>
                <c:formatCode>0.00</c:formatCode>
                <c:ptCount val="10"/>
                <c:pt idx="0">
                  <c:v>24.3</c:v>
                </c:pt>
                <c:pt idx="1">
                  <c:v>17.830910599588186</c:v>
                </c:pt>
                <c:pt idx="2">
                  <c:v>7.8398229816527856</c:v>
                </c:pt>
                <c:pt idx="3">
                  <c:v>6.1372506837948304</c:v>
                </c:pt>
                <c:pt idx="4">
                  <c:v>5.660899228617966</c:v>
                </c:pt>
                <c:pt idx="5">
                  <c:v>3.2914348935124003</c:v>
                </c:pt>
                <c:pt idx="6">
                  <c:v>3.1039675466363441</c:v>
                </c:pt>
                <c:pt idx="7">
                  <c:v>1.8685269983711852</c:v>
                </c:pt>
                <c:pt idx="8">
                  <c:v>1.6288146531854082</c:v>
                </c:pt>
                <c:pt idx="9">
                  <c:v>1.4690064230615569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7926272"/>
        <c:axId val="247831872"/>
        <c:axId val="0"/>
      </c:bar3DChart>
      <c:catAx>
        <c:axId val="247926272"/>
        <c:scaling>
          <c:orientation val="minMax"/>
        </c:scaling>
        <c:delete val="0"/>
        <c:axPos val="l"/>
        <c:majorTickMark val="out"/>
        <c:minorTickMark val="none"/>
        <c:tickLblPos val="nextTo"/>
        <c:crossAx val="247831872"/>
        <c:crosses val="autoZero"/>
        <c:auto val="1"/>
        <c:lblAlgn val="ctr"/>
        <c:lblOffset val="100"/>
        <c:noMultiLvlLbl val="0"/>
      </c:catAx>
      <c:valAx>
        <c:axId val="247831872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24792627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[расчППП.xlsx]Лист6!$B$3</c:f>
              <c:strCache>
                <c:ptCount val="1"/>
                <c:pt idx="0">
                  <c:v>Фактический экспорт инвестиций, млн. долл. </c:v>
                </c:pt>
              </c:strCache>
            </c:strRef>
          </c:tx>
          <c:invertIfNegative val="0"/>
          <c:cat>
            <c:numRef>
              <c:f>[расчППП.xlsx]Лист6!$A$4:$A$13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[расчППП.xlsx]Лист6!$B$4:$B$13</c:f>
              <c:numCache>
                <c:formatCode>General</c:formatCode>
                <c:ptCount val="10"/>
                <c:pt idx="0">
                  <c:v>19197</c:v>
                </c:pt>
                <c:pt idx="1">
                  <c:v>23321.1</c:v>
                </c:pt>
                <c:pt idx="2">
                  <c:v>51126.3</c:v>
                </c:pt>
                <c:pt idx="3">
                  <c:v>69959.199999999997</c:v>
                </c:pt>
                <c:pt idx="4">
                  <c:v>42536.3</c:v>
                </c:pt>
                <c:pt idx="5">
                  <c:v>53353.4</c:v>
                </c:pt>
                <c:pt idx="6">
                  <c:v>71971.399999999994</c:v>
                </c:pt>
                <c:pt idx="7">
                  <c:v>67705.3</c:v>
                </c:pt>
                <c:pt idx="8">
                  <c:v>49382.400000000001</c:v>
                </c:pt>
                <c:pt idx="9">
                  <c:v>23636.7</c:v>
                </c:pt>
              </c:numCache>
            </c:numRef>
          </c:val>
        </c:ser>
        <c:ser>
          <c:idx val="1"/>
          <c:order val="1"/>
          <c:tx>
            <c:strRef>
              <c:f>[расчППП.xlsx]Лист6!$C$3</c:f>
              <c:strCache>
                <c:ptCount val="1"/>
                <c:pt idx="0">
                  <c:v>Базисный абсолютный прирост, млн. долл.</c:v>
                </c:pt>
              </c:strCache>
            </c:strRef>
          </c:tx>
          <c:invertIfNegative val="0"/>
          <c:cat>
            <c:numRef>
              <c:f>[расчППП.xlsx]Лист6!$A$4:$A$13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[расчППП.xlsx]Лист6!$C$4:$C$13</c:f>
              <c:numCache>
                <c:formatCode>General</c:formatCode>
                <c:ptCount val="10"/>
                <c:pt idx="1">
                  <c:v>4124.0999999999985</c:v>
                </c:pt>
                <c:pt idx="2">
                  <c:v>31929.300000000003</c:v>
                </c:pt>
                <c:pt idx="3">
                  <c:v>50762.2</c:v>
                </c:pt>
                <c:pt idx="4">
                  <c:v>23339.300000000003</c:v>
                </c:pt>
                <c:pt idx="5">
                  <c:v>34156.400000000001</c:v>
                </c:pt>
                <c:pt idx="6">
                  <c:v>52774.399999999994</c:v>
                </c:pt>
                <c:pt idx="7">
                  <c:v>48508.3</c:v>
                </c:pt>
                <c:pt idx="8">
                  <c:v>30185.4</c:v>
                </c:pt>
                <c:pt idx="9">
                  <c:v>4439.7000000000007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046592"/>
        <c:axId val="247833728"/>
      </c:barChart>
      <c:lineChart>
        <c:grouping val="standard"/>
        <c:varyColors val="0"/>
        <c:ser>
          <c:idx val="2"/>
          <c:order val="2"/>
          <c:tx>
            <c:strRef>
              <c:f>[расчППП.xlsx]Лист6!$G$3</c:f>
              <c:strCache>
                <c:ptCount val="1"/>
                <c:pt idx="0">
                  <c:v>Базисный темп прироста, %</c:v>
                </c:pt>
              </c:strCache>
            </c:strRef>
          </c:tx>
          <c:val>
            <c:numRef>
              <c:f>[расчППП.xlsx]Лист6!$G$4:$G$13</c:f>
              <c:numCache>
                <c:formatCode>0.00</c:formatCode>
                <c:ptCount val="10"/>
                <c:pt idx="1">
                  <c:v>21.483044225660251</c:v>
                </c:pt>
                <c:pt idx="2">
                  <c:v>166.32442569151431</c:v>
                </c:pt>
                <c:pt idx="3">
                  <c:v>264.42777517320411</c:v>
                </c:pt>
                <c:pt idx="4">
                  <c:v>121.57785070583947</c:v>
                </c:pt>
                <c:pt idx="5">
                  <c:v>177.92571756003542</c:v>
                </c:pt>
                <c:pt idx="6">
                  <c:v>274.90962129499394</c:v>
                </c:pt>
                <c:pt idx="7">
                  <c:v>252.68687815804554</c:v>
                </c:pt>
                <c:pt idx="8">
                  <c:v>157.24019378027816</c:v>
                </c:pt>
                <c:pt idx="9">
                  <c:v>23.127051101734651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048640"/>
        <c:axId val="247834304"/>
      </c:lineChart>
      <c:catAx>
        <c:axId val="248046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833728"/>
        <c:crosses val="autoZero"/>
        <c:auto val="1"/>
        <c:lblAlgn val="ctr"/>
        <c:lblOffset val="100"/>
        <c:noMultiLvlLbl val="0"/>
      </c:catAx>
      <c:valAx>
        <c:axId val="2478337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 долл.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8046592"/>
        <c:crosses val="autoZero"/>
        <c:crossBetween val="between"/>
      </c:valAx>
      <c:valAx>
        <c:axId val="24783430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48048640"/>
        <c:crosses val="max"/>
        <c:crossBetween val="between"/>
      </c:valAx>
      <c:catAx>
        <c:axId val="248048640"/>
        <c:scaling>
          <c:orientation val="minMax"/>
        </c:scaling>
        <c:delete val="1"/>
        <c:axPos val="b"/>
        <c:majorTickMark val="out"/>
        <c:minorTickMark val="none"/>
        <c:tickLblPos val="none"/>
        <c:crossAx val="247834304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[расчППП.xlsx]Лист6!$B$17</c:f>
              <c:strCache>
                <c:ptCount val="1"/>
                <c:pt idx="0">
                  <c:v>Фактический импорт инвестиций, млн. долл.</c:v>
                </c:pt>
              </c:strCache>
            </c:strRef>
          </c:tx>
          <c:invertIfNegative val="0"/>
          <c:cat>
            <c:numRef>
              <c:f>[расчППП.xlsx]Лист6!$A$18:$A$27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[расчППП.xlsx]Лист6!$B$18:$B$27</c:f>
              <c:numCache>
                <c:formatCode>General</c:formatCode>
                <c:ptCount val="10"/>
                <c:pt idx="0">
                  <c:v>6085.5</c:v>
                </c:pt>
                <c:pt idx="1">
                  <c:v>7057.9</c:v>
                </c:pt>
                <c:pt idx="2">
                  <c:v>12318.4</c:v>
                </c:pt>
                <c:pt idx="3">
                  <c:v>19478.5</c:v>
                </c:pt>
                <c:pt idx="4">
                  <c:v>18633.3</c:v>
                </c:pt>
                <c:pt idx="5">
                  <c:v>22822.2</c:v>
                </c:pt>
                <c:pt idx="6">
                  <c:v>40650.9</c:v>
                </c:pt>
                <c:pt idx="7">
                  <c:v>24790.6</c:v>
                </c:pt>
                <c:pt idx="8">
                  <c:v>20458.2</c:v>
                </c:pt>
                <c:pt idx="9">
                  <c:v>20775.3</c:v>
                </c:pt>
              </c:numCache>
            </c:numRef>
          </c:val>
        </c:ser>
        <c:ser>
          <c:idx val="1"/>
          <c:order val="1"/>
          <c:tx>
            <c:strRef>
              <c:f>[расчППП.xlsx]Лист6!$C$17</c:f>
              <c:strCache>
                <c:ptCount val="1"/>
                <c:pt idx="0">
                  <c:v>Базисный абсолютный прирост, млн. долл.</c:v>
                </c:pt>
              </c:strCache>
            </c:strRef>
          </c:tx>
          <c:invertIfNegative val="0"/>
          <c:cat>
            <c:numRef>
              <c:f>[расчППП.xlsx]Лист6!$A$18:$A$27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[расчППП.xlsx]Лист6!$C$18:$C$27</c:f>
              <c:numCache>
                <c:formatCode>General</c:formatCode>
                <c:ptCount val="10"/>
                <c:pt idx="1">
                  <c:v>972.39999999999964</c:v>
                </c:pt>
                <c:pt idx="2">
                  <c:v>6232.9</c:v>
                </c:pt>
                <c:pt idx="3">
                  <c:v>13393</c:v>
                </c:pt>
                <c:pt idx="4">
                  <c:v>12547.8</c:v>
                </c:pt>
                <c:pt idx="5">
                  <c:v>16736.7</c:v>
                </c:pt>
                <c:pt idx="6">
                  <c:v>34565.4</c:v>
                </c:pt>
                <c:pt idx="7">
                  <c:v>18705.099999999999</c:v>
                </c:pt>
                <c:pt idx="8">
                  <c:v>14372.7</c:v>
                </c:pt>
                <c:pt idx="9">
                  <c:v>14689.8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181632"/>
        <c:axId val="247836032"/>
      </c:barChart>
      <c:lineChart>
        <c:grouping val="standard"/>
        <c:varyColors val="0"/>
        <c:ser>
          <c:idx val="2"/>
          <c:order val="2"/>
          <c:tx>
            <c:strRef>
              <c:f>[расчППП.xlsx]Лист6!$G$17</c:f>
              <c:strCache>
                <c:ptCount val="1"/>
                <c:pt idx="0">
                  <c:v>Базисный темп прироста, %</c:v>
                </c:pt>
              </c:strCache>
            </c:strRef>
          </c:tx>
          <c:val>
            <c:numRef>
              <c:f>[расчППП.xlsx]Лист6!$G$18:$G$27</c:f>
              <c:numCache>
                <c:formatCode>0.00</c:formatCode>
                <c:ptCount val="10"/>
                <c:pt idx="1">
                  <c:v>15.978966395530364</c:v>
                </c:pt>
                <c:pt idx="2">
                  <c:v>102.42215101470705</c:v>
                </c:pt>
                <c:pt idx="3">
                  <c:v>220.08051926711033</c:v>
                </c:pt>
                <c:pt idx="4">
                  <c:v>206.19176731575055</c:v>
                </c:pt>
                <c:pt idx="5">
                  <c:v>275.02588119299975</c:v>
                </c:pt>
                <c:pt idx="6">
                  <c:v>567.99605619916201</c:v>
                </c:pt>
                <c:pt idx="7">
                  <c:v>307.37162106646946</c:v>
                </c:pt>
                <c:pt idx="8">
                  <c:v>236.17944293813167</c:v>
                </c:pt>
                <c:pt idx="9">
                  <c:v>241.39018979541532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049152"/>
        <c:axId val="247836608"/>
      </c:lineChart>
      <c:catAx>
        <c:axId val="22618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836032"/>
        <c:crosses val="autoZero"/>
        <c:auto val="1"/>
        <c:lblAlgn val="ctr"/>
        <c:lblOffset val="100"/>
        <c:noMultiLvlLbl val="0"/>
      </c:catAx>
      <c:valAx>
        <c:axId val="2478360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 долл.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6181632"/>
        <c:crosses val="autoZero"/>
        <c:crossBetween val="between"/>
      </c:valAx>
      <c:valAx>
        <c:axId val="247836608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48049152"/>
        <c:crosses val="max"/>
        <c:crossBetween val="between"/>
      </c:valAx>
      <c:catAx>
        <c:axId val="248049152"/>
        <c:scaling>
          <c:orientation val="minMax"/>
        </c:scaling>
        <c:delete val="1"/>
        <c:axPos val="b"/>
        <c:majorTickMark val="out"/>
        <c:minorTickMark val="none"/>
        <c:tickLblPos val="none"/>
        <c:crossAx val="247836608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[расчППП.xlsx]Лист6!$B$80</c:f>
              <c:strCache>
                <c:ptCount val="1"/>
                <c:pt idx="0">
                  <c:v>Объем инвестиционного оборота, млн. долл.</c:v>
                </c:pt>
              </c:strCache>
            </c:strRef>
          </c:tx>
          <c:invertIfNegative val="0"/>
          <c:cat>
            <c:numRef>
              <c:f>[расчППП.xlsx]Лист6!$A$82:$A$91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[расчППП.xlsx]Лист6!$B$82:$B$91</c:f>
              <c:numCache>
                <c:formatCode>0.00</c:formatCode>
                <c:ptCount val="10"/>
                <c:pt idx="0">
                  <c:v>25282.5</c:v>
                </c:pt>
                <c:pt idx="1">
                  <c:v>30379</c:v>
                </c:pt>
                <c:pt idx="2">
                  <c:v>63444.700000000004</c:v>
                </c:pt>
                <c:pt idx="3">
                  <c:v>89437.7</c:v>
                </c:pt>
                <c:pt idx="4">
                  <c:v>61169.600000000006</c:v>
                </c:pt>
                <c:pt idx="5">
                  <c:v>76175.600000000006</c:v>
                </c:pt>
                <c:pt idx="6">
                  <c:v>112622.29999999999</c:v>
                </c:pt>
                <c:pt idx="7">
                  <c:v>92495.9</c:v>
                </c:pt>
                <c:pt idx="8">
                  <c:v>69840.600000000006</c:v>
                </c:pt>
                <c:pt idx="9">
                  <c:v>44412</c:v>
                </c:pt>
              </c:numCache>
            </c:numRef>
          </c:val>
        </c:ser>
        <c:ser>
          <c:idx val="1"/>
          <c:order val="1"/>
          <c:tx>
            <c:strRef>
              <c:f>[расчППП.xlsx]Лист6!$C$81</c:f>
              <c:strCache>
                <c:ptCount val="1"/>
                <c:pt idx="0">
                  <c:v>Базисный абсолютный прирост, млн. долл.</c:v>
                </c:pt>
              </c:strCache>
            </c:strRef>
          </c:tx>
          <c:invertIfNegative val="0"/>
          <c:cat>
            <c:numRef>
              <c:f>[расчППП.xlsx]Лист6!$A$82:$A$91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[расчППП.xlsx]Лист6!$C$82:$C$91</c:f>
              <c:numCache>
                <c:formatCode>0.00</c:formatCode>
                <c:ptCount val="10"/>
                <c:pt idx="0">
                  <c:v>0</c:v>
                </c:pt>
                <c:pt idx="1">
                  <c:v>5096.5</c:v>
                </c:pt>
                <c:pt idx="2">
                  <c:v>38162.200000000004</c:v>
                </c:pt>
                <c:pt idx="3">
                  <c:v>64155.199999999997</c:v>
                </c:pt>
                <c:pt idx="4">
                  <c:v>35887.100000000006</c:v>
                </c:pt>
                <c:pt idx="5">
                  <c:v>50893.100000000006</c:v>
                </c:pt>
                <c:pt idx="6">
                  <c:v>87339.799999999988</c:v>
                </c:pt>
                <c:pt idx="7">
                  <c:v>67213.399999999994</c:v>
                </c:pt>
                <c:pt idx="8">
                  <c:v>44558.100000000006</c:v>
                </c:pt>
                <c:pt idx="9">
                  <c:v>19129.5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925248"/>
        <c:axId val="247838336"/>
      </c:barChart>
      <c:lineChart>
        <c:grouping val="standard"/>
        <c:varyColors val="0"/>
        <c:ser>
          <c:idx val="2"/>
          <c:order val="2"/>
          <c:tx>
            <c:strRef>
              <c:f>[расчППП.xlsx]Лист6!$G$81</c:f>
              <c:strCache>
                <c:ptCount val="1"/>
                <c:pt idx="0">
                  <c:v>Базисный темп прироста, %</c:v>
                </c:pt>
              </c:strCache>
            </c:strRef>
          </c:tx>
          <c:val>
            <c:numRef>
              <c:f>[расчППП.xlsx]Лист6!$G$82:$G$91</c:f>
              <c:numCache>
                <c:formatCode>0.00</c:formatCode>
                <c:ptCount val="10"/>
                <c:pt idx="1">
                  <c:v>20.15821220211609</c:v>
                </c:pt>
                <c:pt idx="2">
                  <c:v>150.94314248986453</c:v>
                </c:pt>
                <c:pt idx="3">
                  <c:v>253.75338672995156</c:v>
                </c:pt>
                <c:pt idx="4">
                  <c:v>141.94442796400674</c:v>
                </c:pt>
                <c:pt idx="5">
                  <c:v>201.29773558785723</c:v>
                </c:pt>
                <c:pt idx="6">
                  <c:v>345.45555225946794</c:v>
                </c:pt>
                <c:pt idx="7">
                  <c:v>265.84950064273704</c:v>
                </c:pt>
                <c:pt idx="8">
                  <c:v>176.24087807772179</c:v>
                </c:pt>
                <c:pt idx="9">
                  <c:v>75.663008009492728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942144"/>
        <c:axId val="247838912"/>
      </c:lineChart>
      <c:catAx>
        <c:axId val="24792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838336"/>
        <c:crosses val="autoZero"/>
        <c:auto val="1"/>
        <c:lblAlgn val="ctr"/>
        <c:lblOffset val="100"/>
        <c:noMultiLvlLbl val="0"/>
      </c:catAx>
      <c:valAx>
        <c:axId val="2478383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 долл.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47925248"/>
        <c:crosses val="autoZero"/>
        <c:crossBetween val="between"/>
      </c:valAx>
      <c:valAx>
        <c:axId val="247838912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343942144"/>
        <c:crosses val="max"/>
        <c:crossBetween val="between"/>
      </c:valAx>
      <c:catAx>
        <c:axId val="343942144"/>
        <c:scaling>
          <c:orientation val="minMax"/>
        </c:scaling>
        <c:delete val="1"/>
        <c:axPos val="b"/>
        <c:majorTickMark val="out"/>
        <c:minorTickMark val="none"/>
        <c:tickLblPos val="none"/>
        <c:crossAx val="247838912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[расчППП.xlsx]Лист6!$B$53</c:f>
              <c:strCache>
                <c:ptCount val="1"/>
                <c:pt idx="0">
                  <c:v>Фактическое сальдо инвестиционного сотрудничества, ед.</c:v>
                </c:pt>
              </c:strCache>
            </c:strRef>
          </c:tx>
          <c:invertIfNegative val="0"/>
          <c:cat>
            <c:numRef>
              <c:f>[расчППП.xlsx]Лист6!$A$54:$A$63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[расчППП.xlsx]Лист6!$B$54:$B$63</c:f>
              <c:numCache>
                <c:formatCode>General</c:formatCode>
                <c:ptCount val="10"/>
                <c:pt idx="0">
                  <c:v>13111.5</c:v>
                </c:pt>
                <c:pt idx="1">
                  <c:v>16263.199999999999</c:v>
                </c:pt>
                <c:pt idx="2">
                  <c:v>38807.9</c:v>
                </c:pt>
                <c:pt idx="3">
                  <c:v>50480.7</c:v>
                </c:pt>
                <c:pt idx="4">
                  <c:v>23903.000000000004</c:v>
                </c:pt>
                <c:pt idx="5">
                  <c:v>30531.200000000001</c:v>
                </c:pt>
                <c:pt idx="6">
                  <c:v>31320.499999999993</c:v>
                </c:pt>
                <c:pt idx="7">
                  <c:v>42914.700000000004</c:v>
                </c:pt>
                <c:pt idx="8">
                  <c:v>28924.2</c:v>
                </c:pt>
                <c:pt idx="9">
                  <c:v>2861.4000000000015</c:v>
                </c:pt>
              </c:numCache>
            </c:numRef>
          </c:val>
        </c:ser>
        <c:ser>
          <c:idx val="1"/>
          <c:order val="1"/>
          <c:tx>
            <c:strRef>
              <c:f>[расчППП.xlsx]Лист6!$C$53</c:f>
              <c:strCache>
                <c:ptCount val="1"/>
                <c:pt idx="0">
                  <c:v>Базисный абсолютный прирост, млн. долл.</c:v>
                </c:pt>
              </c:strCache>
            </c:strRef>
          </c:tx>
          <c:invertIfNegative val="0"/>
          <c:cat>
            <c:numRef>
              <c:f>[расчППП.xlsx]Лист6!$A$54:$A$63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[расчППП.xlsx]Лист6!$C$54:$C$63</c:f>
              <c:numCache>
                <c:formatCode>General</c:formatCode>
                <c:ptCount val="10"/>
                <c:pt idx="1">
                  <c:v>3151.6999999999989</c:v>
                </c:pt>
                <c:pt idx="2">
                  <c:v>25696.400000000001</c:v>
                </c:pt>
                <c:pt idx="3">
                  <c:v>37369.199999999997</c:v>
                </c:pt>
                <c:pt idx="4">
                  <c:v>10791.500000000004</c:v>
                </c:pt>
                <c:pt idx="5">
                  <c:v>17419.7</c:v>
                </c:pt>
                <c:pt idx="6">
                  <c:v>18208.999999999993</c:v>
                </c:pt>
                <c:pt idx="7">
                  <c:v>29803.200000000004</c:v>
                </c:pt>
                <c:pt idx="8">
                  <c:v>15812.7</c:v>
                </c:pt>
                <c:pt idx="9">
                  <c:v>-10250.099999999999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942656"/>
        <c:axId val="343310336"/>
      </c:barChart>
      <c:lineChart>
        <c:grouping val="standard"/>
        <c:varyColors val="0"/>
        <c:ser>
          <c:idx val="2"/>
          <c:order val="2"/>
          <c:tx>
            <c:strRef>
              <c:f>[расчППП.xlsx]Лист6!$G$53</c:f>
              <c:strCache>
                <c:ptCount val="1"/>
                <c:pt idx="0">
                  <c:v>Базисный темп прироста, %</c:v>
                </c:pt>
              </c:strCache>
            </c:strRef>
          </c:tx>
          <c:val>
            <c:numRef>
              <c:f>[расчППП.xlsx]Лист6!$G$54:$G$63</c:f>
              <c:numCache>
                <c:formatCode>0.00</c:formatCode>
                <c:ptCount val="10"/>
                <c:pt idx="1">
                  <c:v>24.03767684856804</c:v>
                </c:pt>
                <c:pt idx="2">
                  <c:v>195.98367845021551</c:v>
                </c:pt>
                <c:pt idx="3">
                  <c:v>285.01086832170233</c:v>
                </c:pt>
                <c:pt idx="4">
                  <c:v>82.30560957937692</c:v>
                </c:pt>
                <c:pt idx="5">
                  <c:v>132.85817793540025</c:v>
                </c:pt>
                <c:pt idx="6">
                  <c:v>138.87808412462337</c:v>
                </c:pt>
                <c:pt idx="7">
                  <c:v>227.30580025168751</c:v>
                </c:pt>
                <c:pt idx="8">
                  <c:v>120.60176181214962</c:v>
                </c:pt>
                <c:pt idx="9">
                  <c:v>-78.176410021736629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944192"/>
        <c:axId val="343310912"/>
      </c:lineChart>
      <c:catAx>
        <c:axId val="34394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3310336"/>
        <c:crosses val="autoZero"/>
        <c:auto val="1"/>
        <c:lblAlgn val="ctr"/>
        <c:lblOffset val="100"/>
        <c:noMultiLvlLbl val="0"/>
      </c:catAx>
      <c:valAx>
        <c:axId val="3433103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 долл.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3942656"/>
        <c:crosses val="autoZero"/>
        <c:crossBetween val="between"/>
      </c:valAx>
      <c:valAx>
        <c:axId val="343310912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343944192"/>
        <c:crosses val="max"/>
        <c:crossBetween val="between"/>
      </c:valAx>
      <c:catAx>
        <c:axId val="343944192"/>
        <c:scaling>
          <c:orientation val="minMax"/>
        </c:scaling>
        <c:delete val="1"/>
        <c:axPos val="b"/>
        <c:majorTickMark val="out"/>
        <c:minorTickMark val="none"/>
        <c:tickLblPos val="none"/>
        <c:crossAx val="343310912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[расчППП.xlsx]Лист6!$B$67</c:f>
              <c:strCache>
                <c:ptCount val="1"/>
                <c:pt idx="0">
                  <c:v>Фактический коэффициент покрытия импорта инвестиций экспортом</c:v>
                </c:pt>
              </c:strCache>
            </c:strRef>
          </c:tx>
          <c:invertIfNegative val="0"/>
          <c:cat>
            <c:numRef>
              <c:f>[расчППП.xlsx]Лист6!$A$68:$A$77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[расчППП.xlsx]Лист6!$B$68:$B$77</c:f>
              <c:numCache>
                <c:formatCode>0.00</c:formatCode>
                <c:ptCount val="10"/>
                <c:pt idx="0">
                  <c:v>3.1545476953413853</c:v>
                </c:pt>
                <c:pt idx="1">
                  <c:v>3.3042548066705395</c:v>
                </c:pt>
                <c:pt idx="2">
                  <c:v>4.1504010261072874</c:v>
                </c:pt>
                <c:pt idx="3">
                  <c:v>3.5916112637010036</c:v>
                </c:pt>
                <c:pt idx="4">
                  <c:v>2.282810881593706</c:v>
                </c:pt>
                <c:pt idx="5">
                  <c:v>2.3377851390312943</c:v>
                </c:pt>
                <c:pt idx="6">
                  <c:v>1.77047494643415</c:v>
                </c:pt>
                <c:pt idx="7">
                  <c:v>2.7310875896509161</c:v>
                </c:pt>
                <c:pt idx="8">
                  <c:v>2.4138193976009621</c:v>
                </c:pt>
                <c:pt idx="9">
                  <c:v>1.1377308630922298</c:v>
                </c:pt>
              </c:numCache>
            </c:numRef>
          </c:val>
        </c:ser>
        <c:ser>
          <c:idx val="1"/>
          <c:order val="1"/>
          <c:tx>
            <c:strRef>
              <c:f>[расчППП.xlsx]Лист6!$C$67</c:f>
              <c:strCache>
                <c:ptCount val="1"/>
                <c:pt idx="0">
                  <c:v>Базисный абсолютный прирост, д.ед.</c:v>
                </c:pt>
              </c:strCache>
            </c:strRef>
          </c:tx>
          <c:invertIfNegative val="0"/>
          <c:cat>
            <c:numRef>
              <c:f>[расчППП.xlsx]Лист6!$A$68:$A$77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[расчППП.xlsx]Лист6!$C$68:$C$77</c:f>
              <c:numCache>
                <c:formatCode>0.00</c:formatCode>
                <c:ptCount val="10"/>
                <c:pt idx="1">
                  <c:v>0.14970711132915415</c:v>
                </c:pt>
                <c:pt idx="2">
                  <c:v>0.9958533307659021</c:v>
                </c:pt>
                <c:pt idx="3">
                  <c:v>0.43706356835961824</c:v>
                </c:pt>
                <c:pt idx="4">
                  <c:v>-0.87173681374767931</c:v>
                </c:pt>
                <c:pt idx="5">
                  <c:v>-0.81676255631009109</c:v>
                </c:pt>
                <c:pt idx="6">
                  <c:v>-1.3840727489072353</c:v>
                </c:pt>
                <c:pt idx="7">
                  <c:v>-0.42346010569046921</c:v>
                </c:pt>
                <c:pt idx="8">
                  <c:v>-0.74072829774042326</c:v>
                </c:pt>
                <c:pt idx="9">
                  <c:v>-2.0168168322491553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925760"/>
        <c:axId val="343312640"/>
      </c:barChart>
      <c:lineChart>
        <c:grouping val="standard"/>
        <c:varyColors val="0"/>
        <c:ser>
          <c:idx val="2"/>
          <c:order val="2"/>
          <c:tx>
            <c:strRef>
              <c:f>[расчППП.xlsx]Лист6!$G$67</c:f>
              <c:strCache>
                <c:ptCount val="1"/>
                <c:pt idx="0">
                  <c:v>Базисный темп прироста, %</c:v>
                </c:pt>
              </c:strCache>
            </c:strRef>
          </c:tx>
          <c:marker>
            <c:symbol val="none"/>
          </c:marker>
          <c:val>
            <c:numRef>
              <c:f>[расчППП.xlsx]Лист6!$G$69:$G$77</c:f>
              <c:numCache>
                <c:formatCode>0.00</c:formatCode>
                <c:ptCount val="9"/>
                <c:pt idx="0">
                  <c:v>4.7457552013000281</c:v>
                </c:pt>
                <c:pt idx="1">
                  <c:v>31.568815150158343</c:v>
                </c:pt>
                <c:pt idx="2">
                  <c:v>13.855031230152932</c:v>
                </c:pt>
                <c:pt idx="3">
                  <c:v>-27.634288587078728</c:v>
                </c:pt>
                <c:pt idx="4">
                  <c:v>-25.891590021488042</c:v>
                </c:pt>
                <c:pt idx="5">
                  <c:v>-43.875473842136692</c:v>
                </c:pt>
                <c:pt idx="6">
                  <c:v>-13.423797849556436</c:v>
                </c:pt>
                <c:pt idx="7">
                  <c:v>-23.481283825073433</c:v>
                </c:pt>
                <c:pt idx="8">
                  <c:v>-63.933629382988158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4326144"/>
        <c:axId val="343313216"/>
      </c:lineChart>
      <c:catAx>
        <c:axId val="24792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3312640"/>
        <c:crosses val="autoZero"/>
        <c:auto val="1"/>
        <c:lblAlgn val="ctr"/>
        <c:lblOffset val="100"/>
        <c:noMultiLvlLbl val="0"/>
      </c:catAx>
      <c:valAx>
        <c:axId val="343312640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247925760"/>
        <c:crosses val="autoZero"/>
        <c:crossBetween val="between"/>
      </c:valAx>
      <c:valAx>
        <c:axId val="343313216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crossAx val="344326144"/>
        <c:crosses val="max"/>
        <c:crossBetween val="between"/>
      </c:valAx>
      <c:catAx>
        <c:axId val="344326144"/>
        <c:scaling>
          <c:orientation val="minMax"/>
        </c:scaling>
        <c:delete val="1"/>
        <c:axPos val="b"/>
        <c:majorTickMark val="out"/>
        <c:minorTickMark val="none"/>
        <c:tickLblPos val="nextTo"/>
        <c:crossAx val="343313216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Лист1!$D$144</c:f>
              <c:strCache>
                <c:ptCount val="1"/>
                <c:pt idx="0">
                  <c:v>2018г.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6816816816816904E-2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1">
                  <a:lumMod val="40000"/>
                  <a:lumOff val="6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Лист1!$C$145:$C$148</c:f>
              <c:strCache>
                <c:ptCount val="4"/>
                <c:pt idx="0">
                  <c:v>экспорт</c:v>
                </c:pt>
                <c:pt idx="1">
                  <c:v>импорт</c:v>
                </c:pt>
                <c:pt idx="2">
                  <c:v>инвестиционный оборот</c:v>
                </c:pt>
                <c:pt idx="3">
                  <c:v>инвестиционое сальдо</c:v>
                </c:pt>
              </c:strCache>
            </c:strRef>
          </c:cat>
          <c:val>
            <c:numRef>
              <c:f>Лист1!$D$145:$D$148</c:f>
              <c:numCache>
                <c:formatCode>General</c:formatCode>
                <c:ptCount val="4"/>
                <c:pt idx="0">
                  <c:v>22632.55</c:v>
                </c:pt>
                <c:pt idx="1">
                  <c:v>15736.52</c:v>
                </c:pt>
                <c:pt idx="2">
                  <c:v>38369.07</c:v>
                </c:pt>
                <c:pt idx="3">
                  <c:v>6896.0299999999988</c:v>
                </c:pt>
              </c:numCache>
            </c:numRef>
          </c:val>
        </c:ser>
        <c:ser>
          <c:idx val="1"/>
          <c:order val="1"/>
          <c:tx>
            <c:strRef>
              <c:f>Лист1!$E$144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spPr>
              <a:solidFill>
                <a:schemeClr val="accent2">
                  <a:lumMod val="40000"/>
                  <a:lumOff val="6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Лист1!$C$145:$C$148</c:f>
              <c:strCache>
                <c:ptCount val="4"/>
                <c:pt idx="0">
                  <c:v>экспорт</c:v>
                </c:pt>
                <c:pt idx="1">
                  <c:v>импорт</c:v>
                </c:pt>
                <c:pt idx="2">
                  <c:v>инвестиционный оборот</c:v>
                </c:pt>
                <c:pt idx="3">
                  <c:v>инвестиционое сальдо</c:v>
                </c:pt>
              </c:strCache>
            </c:strRef>
          </c:cat>
          <c:val>
            <c:numRef>
              <c:f>Лист1!$E$145:$E$148</c:f>
              <c:numCache>
                <c:formatCode>General</c:formatCode>
                <c:ptCount val="4"/>
                <c:pt idx="0">
                  <c:v>31821.8</c:v>
                </c:pt>
                <c:pt idx="1">
                  <c:v>22062.93</c:v>
                </c:pt>
                <c:pt idx="2">
                  <c:v>53884.729999999996</c:v>
                </c:pt>
                <c:pt idx="3">
                  <c:v>9758.869999999999</c:v>
                </c:pt>
              </c:numCache>
            </c:numRef>
          </c:val>
        </c:ser>
        <c:ser>
          <c:idx val="2"/>
          <c:order val="2"/>
          <c:tx>
            <c:strRef>
              <c:f>Лист1!$F$144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9219219219219218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40000"/>
                  <a:lumOff val="6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Лист1!$C$145:$C$148</c:f>
              <c:strCache>
                <c:ptCount val="4"/>
                <c:pt idx="0">
                  <c:v>экспорт</c:v>
                </c:pt>
                <c:pt idx="1">
                  <c:v>импорт</c:v>
                </c:pt>
                <c:pt idx="2">
                  <c:v>инвестиционный оборот</c:v>
                </c:pt>
                <c:pt idx="3">
                  <c:v>инвестиционое сальдо</c:v>
                </c:pt>
              </c:strCache>
            </c:strRef>
          </c:cat>
          <c:val>
            <c:numRef>
              <c:f>Лист1!$F$145:$F$148</c:f>
              <c:numCache>
                <c:formatCode>General</c:formatCode>
                <c:ptCount val="4"/>
                <c:pt idx="0">
                  <c:v>39019.449999999997</c:v>
                </c:pt>
                <c:pt idx="1">
                  <c:v>29022.38</c:v>
                </c:pt>
                <c:pt idx="2">
                  <c:v>68041.83</c:v>
                </c:pt>
                <c:pt idx="3">
                  <c:v>9997.0699999999961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7969792"/>
        <c:axId val="343314944"/>
        <c:axId val="0"/>
      </c:bar3DChart>
      <c:catAx>
        <c:axId val="247969792"/>
        <c:scaling>
          <c:orientation val="minMax"/>
        </c:scaling>
        <c:delete val="0"/>
        <c:axPos val="b"/>
        <c:majorTickMark val="out"/>
        <c:minorTickMark val="none"/>
        <c:tickLblPos val="nextTo"/>
        <c:crossAx val="343314944"/>
        <c:crosses val="autoZero"/>
        <c:auto val="1"/>
        <c:lblAlgn val="ctr"/>
        <c:lblOffset val="100"/>
        <c:noMultiLvlLbl val="0"/>
      </c:catAx>
      <c:valAx>
        <c:axId val="3433149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7969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4797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39</cp:revision>
  <dcterms:created xsi:type="dcterms:W3CDTF">2018-08-13T08:53:00Z</dcterms:created>
  <dcterms:modified xsi:type="dcterms:W3CDTF">2018-12-20T07:18:00Z</dcterms:modified>
</cp:coreProperties>
</file>